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body>
    <w:p w:rsidR="00A84F3C" w:rsidRPr="00697EFD" w:rsidRDefault="00A84F3C" w:rsidP="006A393C">
      <w:pPr>
        <w:pStyle w:val="Untertitel"/>
        <w:rPr>
          <w:sz w:val="22"/>
        </w:rPr>
      </w:pPr>
    </w:p>
    <w:p w:rsidR="00A84F3C" w:rsidRPr="00697EFD" w:rsidRDefault="00A84F3C" w:rsidP="00A84F3C">
      <w:pPr>
        <w:pStyle w:val="Kopfzeile"/>
        <w:tabs>
          <w:tab w:val="clear" w:pos="4536"/>
          <w:tab w:val="clear" w:pos="9072"/>
        </w:tabs>
        <w:rPr>
          <w:sz w:val="22"/>
        </w:rPr>
      </w:pPr>
    </w:p>
    <w:p w:rsidR="00A84F3C" w:rsidRDefault="00A84F3C" w:rsidP="00A84F3C">
      <w:pPr>
        <w:pStyle w:val="Kopfzeile"/>
        <w:tabs>
          <w:tab w:val="clear" w:pos="4536"/>
          <w:tab w:val="clear" w:pos="9072"/>
          <w:tab w:val="left" w:pos="8222"/>
        </w:tabs>
        <w:rPr>
          <w:sz w:val="22"/>
        </w:rPr>
      </w:pPr>
    </w:p>
    <w:p w:rsidR="00B75138" w:rsidRDefault="00B75138" w:rsidP="00A84F3C">
      <w:pPr>
        <w:pStyle w:val="Kopfzeile"/>
        <w:tabs>
          <w:tab w:val="clear" w:pos="4536"/>
          <w:tab w:val="clear" w:pos="9072"/>
          <w:tab w:val="left" w:pos="8222"/>
        </w:tabs>
        <w:rPr>
          <w:sz w:val="22"/>
        </w:rPr>
      </w:pPr>
    </w:p>
    <w:p w:rsidR="00522FC7" w:rsidRDefault="00522FC7" w:rsidP="008F7DBE"/>
    <w:p w:rsidR="00522FC7" w:rsidRPr="00697EFD" w:rsidRDefault="00522FC7" w:rsidP="008F7DBE">
      <w:pPr>
        <w:sectPr w:rsidR="00522FC7" w:rsidRPr="00697EFD" w:rsidSect="003F748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552" w:right="567" w:bottom="2268" w:left="1418" w:header="567" w:footer="397" w:gutter="0"/>
          <w:pgNumType w:start="1"/>
          <w:cols w:space="708"/>
          <w:titlePg/>
          <w:docGrid w:linePitch="360"/>
        </w:sectPr>
      </w:pPr>
    </w:p>
    <w:p w:rsidR="00AB67D2" w:rsidRDefault="00AB67D2" w:rsidP="00AB67D2">
      <w:pPr>
        <w:rPr>
          <w:rFonts w:cs="Arial"/>
          <w:b/>
          <w:sz w:val="24"/>
          <w:szCs w:val="24"/>
        </w:rPr>
      </w:pPr>
      <w:proofErr w:type="spellStart"/>
      <w:proofErr w:type="spellEnd"/>
      <w:proofErr w:type="spellStart"/>
      <w:proofErr w:type="spellEnd"/>
      <w:r>
        <w:rPr>
          <w:lang w:val="it-IT"/>
          <w:rFonts w:ascii="Arial" w:cs="Arial" w:eastAsia="Times New Roman" w:hAnsi="Arial"/>
          <w:b w:val="on"/>
          <w:sz w:val="24"/>
        </w:rPr>
        <w:t xml:space="preserve">Maggiore scelta di attuatori e diametri nominali nella valvola di regolazione GEMÜ 567 BioStar control </w:t>
      </w:r>
    </w:p>
    <w:p w:rsidR="00AE3E92" w:rsidRDefault="00AE3E92" w:rsidP="00AE3E92">
      <w:pPr>
        <w:rPr>
          <w:rFonts w:cs="Arial"/>
        </w:rPr>
      </w:pPr>
    </w:p>
    <w:p w:rsidR="00AB67D2" w:rsidRPr="00290FE0" w:rsidRDefault="00AB67D2" w:rsidP="00AB67D2">
      <w:pPr>
        <w:rPr>
          <w:b/>
        </w:rPr>
      </w:pPr>
      <w:proofErr w:type="spellStart"/>
      <w:proofErr w:type="spellEnd"/>
      <w:proofErr w:type="spellStart"/>
      <w:proofErr w:type="spellEnd"/>
      <w:r>
        <w:rPr>
          <w:lang w:val="it-IT"/>
          <w:rFonts w:ascii="Arial" w:cs="Times New Roman" w:eastAsia="Times New Roman" w:hAnsi="Arial"/>
          <w:b w:val="on"/>
          <w:sz w:val="20"/>
        </w:rPr>
        <w:t xml:space="preserve">La valvola di regolazione asettica GEMÜ 567 BioStar control può essere acquistata subito con un diametro nominale fino a DN25, ovvero per una portata max. di 15m³/h. Nel contempo è stata ampliata la linea di attuatori motorizzati per questa valvola.</w:t>
      </w:r>
    </w:p>
    <w:p w:rsidR="00A42C8E" w:rsidRPr="00154248" w:rsidRDefault="00A42C8E" w:rsidP="002644DE">
      <w:pPr>
        <w:spacing w:line="360" w:lineRule="auto"/>
        <w:rPr>
          <w:rFonts w:cs="Arial"/>
          <w:b/>
          <w:bCs/>
          <w:color w:val="FF0000"/>
          <w:sz w:val="22"/>
          <w:szCs w:val="22"/>
        </w:rPr>
      </w:pPr>
    </w:p>
    <w:p w:rsidR="00AB67D2" w:rsidRDefault="00AB67D2" w:rsidP="00AB67D2">
      <w:pPr>
        <w:rPr>
          <w:rFonts w:cs="Arial"/>
        </w:rPr>
      </w:pP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r>
        <w:rPr>
          <w:lang w:val="it-IT"/>
          <w:rFonts w:ascii="Arial" w:cs="Times New Roman" w:eastAsia="Times New Roman" w:hAnsi="Arial"/>
          <w:sz w:val="20"/>
        </w:rPr>
        <w:t xml:space="preserve">Per potenziare la gamma di valvole per applicazioni igieniche, sterili e asettiche con l</w:t>
      </w:r>
      <w:r>
        <w:rPr>
          <w:lang w:val="it-IT"/>
          <w:rFonts w:ascii="Arial" w:cs="Times New Roman" w:eastAsia="Times New Roman" w:hAnsi="Arial"/>
          <w:sz w:val="20"/>
        </w:rPr>
        <w:t xml:space="preserve">'aggiunta di una valvola di ritegno e regolazione molto precisa, GEMÜ, leader nella produzione di valvole, sistemi di misura e regolazione, ha sviluppato una nuovissima tecnologia di tenuta che completa la proposta di valvole asettiche GEMÜ, già molto apprezzata dai clienti. Con la 567 BioStar control, una valvola b</w:t>
      </w:r>
      <w:r>
        <w:rPr>
          <w:lang w:val="it-IT"/>
          <w:rFonts w:ascii="Arial" w:cs="Arial" w:eastAsia="Times New Roman" w:hAnsi="Arial"/>
          <w:sz w:val="20"/>
        </w:rPr>
        <w:t xml:space="preserve">asata sulla tecnologia PD di GEMÜ, nasce una nuova generazione di valvole destinate alla regolazione di piccole portate nell</w:t>
      </w:r>
      <w:r>
        <w:rPr>
          <w:lang w:val="it-IT"/>
          <w:rFonts w:ascii="Arial" w:cs="Arial" w:eastAsia="Times New Roman" w:hAnsi="Arial"/>
          <w:sz w:val="20"/>
        </w:rPr>
        <w:t xml:space="preserve">'industria farmaceutica, alimentare e delle biotecnologie. </w:t>
      </w:r>
    </w:p>
    <w:p w:rsidR="00AB67D2" w:rsidRDefault="00AB67D2" w:rsidP="00AB67D2">
      <w:r>
        <w:rPr>
          <w:lang w:val="it-IT"/>
          <w:rFonts w:ascii="Arial" w:cs="Arial" w:eastAsia="Times New Roman" w:hAnsi="Arial"/>
          <w:sz w:val="20"/>
        </w:rPr>
        <w:t xml:space="preserve">La tecnologia PD consente</w:t>
      </w:r>
      <w:r>
        <w:rPr>
          <w:lang w:val="it-IT"/>
          <w:rFonts w:ascii="Arial" w:cs="Times New Roman" w:eastAsia="Times New Roman" w:hAnsi="Arial"/>
          <w:sz w:val="20"/>
        </w:rPr>
        <w:t xml:space="preserve"> di separare ermeticamente i componenti mobili dell</w:t>
      </w:r>
      <w:r>
        <w:rPr>
          <w:lang w:val="it-IT"/>
          <w:rFonts w:ascii="Arial" w:cs="Times New Roman" w:eastAsia="Times New Roman" w:hAnsi="Arial"/>
          <w:sz w:val="20"/>
        </w:rPr>
        <w:t xml:space="preserve">'attuatore dall</w:t>
      </w:r>
      <w:r>
        <w:rPr>
          <w:lang w:val="it-IT"/>
          <w:rFonts w:ascii="Arial" w:cs="Times New Roman" w:eastAsia="Times New Roman" w:hAnsi="Arial"/>
          <w:sz w:val="20"/>
        </w:rPr>
        <w:t xml:space="preserve">'area del prodotto. Inoltre, questa delimitazione ermetica rende possibile la sostituzione dell</w:t>
      </w:r>
      <w:r>
        <w:rPr>
          <w:lang w:val="it-IT"/>
          <w:rFonts w:ascii="Arial" w:cs="Times New Roman" w:eastAsia="Times New Roman" w:hAnsi="Arial"/>
          <w:sz w:val="20"/>
        </w:rPr>
        <w:t xml:space="preserve">'attuatore in presenza di pressione, senza sporcare il fluido.</w:t>
      </w:r>
    </w:p>
    <w:p w:rsidR="00AB67D2" w:rsidRDefault="00AB67D2" w:rsidP="00AB67D2"/>
    <w:p w:rsidR="00AB67D2" w:rsidRDefault="00AB67D2" w:rsidP="00AB67D2">
      <w:pPr>
        <w:spacing w:line="360" w:lineRule="auto"/>
      </w:pP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r>
        <w:rPr>
          <w:lang w:val="it-IT"/>
          <w:rFonts w:ascii="Arial" w:cs="Times New Roman" w:eastAsia="Times New Roman" w:hAnsi="Arial"/>
          <w:sz w:val="20"/>
        </w:rPr>
        <w:t xml:space="preserve">Oltre alle varianti già presenti in commercio, dotate di attuatore manuale e pneumatico, sono state sviluppate nuove varianti a motore elettrico, come la GEMÜ 567 BioStar control, la prima valvola di regolazione al mondo </w:t>
      </w:r>
      <w:r>
        <w:rPr>
          <w:lang w:val="it-IT"/>
          <w:rFonts w:ascii="Arial" w:cs="Times New Roman" w:eastAsia="Times New Roman" w:hAnsi="Arial"/>
          <w:sz w:val="20"/>
        </w:rPr>
        <w:t xml:space="preserve">"real time</w:t>
      </w:r>
      <w:r>
        <w:rPr>
          <w:lang w:val="it-IT"/>
          <w:rFonts w:ascii="Arial" w:cs="Times New Roman" w:eastAsia="Times New Roman" w:hAnsi="Arial"/>
          <w:sz w:val="20"/>
        </w:rPr>
        <w:t xml:space="preserve">". Combinando la tecnologia PD con l</w:t>
      </w:r>
      <w:r>
        <w:rPr>
          <w:lang w:val="it-IT"/>
          <w:rFonts w:ascii="Arial" w:cs="Times New Roman" w:eastAsia="Times New Roman" w:hAnsi="Arial"/>
          <w:sz w:val="20"/>
        </w:rPr>
        <w:t xml:space="preserve">'attuatore elettrico nella versione in acciaio inox, la valvola risulta essere la scelta numero uno per regolare piccole quantità nell</w:t>
      </w:r>
      <w:r>
        <w:rPr>
          <w:lang w:val="it-IT"/>
          <w:rFonts w:ascii="Arial" w:cs="Times New Roman" w:eastAsia="Times New Roman" w:hAnsi="Arial"/>
          <w:sz w:val="20"/>
        </w:rPr>
        <w:t xml:space="preserve">'industria farmaceutica e delle biotecnologie, settori che non prevedono l</w:t>
      </w:r>
      <w:r>
        <w:rPr>
          <w:lang w:val="it-IT"/>
          <w:rFonts w:ascii="Arial" w:cs="Times New Roman" w:eastAsia="Times New Roman" w:hAnsi="Arial"/>
          <w:sz w:val="20"/>
        </w:rPr>
        <w:t xml:space="preserve">'utilizzo di aria compressa e nei quali i requisiti di precisione e velocità sono particolarmente severi. Grazie alla lunga durata della membrana PD (oltre 7 milioni di commutazioni), alla struttura a manutenzione ridotta e alla sostituzione dell</w:t>
      </w:r>
      <w:r>
        <w:rPr>
          <w:lang w:val="it-IT"/>
          <w:rFonts w:ascii="Arial" w:cs="Times New Roman" w:eastAsia="Times New Roman" w:hAnsi="Arial"/>
          <w:sz w:val="20"/>
        </w:rPr>
        <w:t xml:space="preserve">'attuatore in presenza di fluido, è possibile allungare notevolmente la vita dell</w:t>
      </w:r>
      <w:r>
        <w:rPr>
          <w:lang w:val="it-IT"/>
          <w:rFonts w:ascii="Arial" w:cs="Times New Roman" w:eastAsia="Times New Roman" w:hAnsi="Arial"/>
          <w:sz w:val="20"/>
        </w:rPr>
        <w:t xml:space="preserve">'impianto. Ampliando la scelta di diametri nominali (fino a DN 25) GEMÜ ha innalzato il range kv fino a ca. 15 m³/h. </w:t>
      </w:r>
    </w:p>
    <w:p w:rsidR="00AB67D2" w:rsidRPr="00AB67D2" w:rsidRDefault="00AB67D2" w:rsidP="00AB67D2">
      <w:pPr>
        <w:spacing w:line="360" w:lineRule="auto"/>
      </w:pPr>
    </w:p>
    <w:p w:rsidR="00AB67D2" w:rsidRDefault="00AB67D2" w:rsidP="00AB67D2">
      <w:pPr>
        <w:spacing w:line="360" w:lineRule="auto"/>
      </w:pPr>
      <w:proofErr w:type="spellStart"/>
      <w:proofErr w:type="spellEnd"/>
      <w:proofErr w:type="spellStart"/>
      <w:proofErr w:type="spellEnd"/>
      <w:r>
        <w:rPr>
          <w:lang w:val="it-IT"/>
          <w:rFonts w:ascii="Arial" w:cs="Times New Roman" w:eastAsia="Times New Roman" w:hAnsi="Arial"/>
          <w:sz w:val="20"/>
        </w:rPr>
        <w:t xml:space="preserve">La valvola GEMÜ 567 BioStar control è adatta a tutte le applicazioni di regolazione nei settori igienici e sterili, come pure negli impianti asettici dell</w:t>
      </w:r>
      <w:r>
        <w:rPr>
          <w:lang w:val="it-IT"/>
          <w:rFonts w:ascii="Arial" w:cs="Times New Roman" w:eastAsia="Times New Roman" w:hAnsi="Arial"/>
          <w:sz w:val="20"/>
        </w:rPr>
        <w:t xml:space="preserve">'industria farmaceutica, alimentare, delle bevande e delle biotecnologie, nonché nelle applicazioni industriali e in quelle che prevedono l</w:t>
      </w:r>
      <w:r>
        <w:rPr>
          <w:lang w:val="it-IT"/>
          <w:rFonts w:ascii="Arial" w:cs="Times New Roman" w:eastAsia="Times New Roman" w:hAnsi="Arial"/>
          <w:sz w:val="20"/>
        </w:rPr>
        <w:t xml:space="preserve">'utilizzo di fluidi aggressivi. Essa è perfetta e insostituibile per fluidi grassi e oleosi grazie al sistema di tenuta in PTFE e consente di ottenere l</w:t>
      </w:r>
      <w:r>
        <w:rPr>
          <w:lang w:val="it-IT"/>
          <w:rFonts w:ascii="Arial" w:cs="Times New Roman" w:eastAsia="Times New Roman" w:hAnsi="Arial"/>
          <w:sz w:val="20"/>
        </w:rPr>
        <w:t xml:space="preserve">'esatta regolazione di piccole quantità nel settore medicale e alimentare (produzione latteo-casearia), nell</w:t>
      </w:r>
      <w:r>
        <w:rPr>
          <w:lang w:val="it-IT"/>
          <w:rFonts w:ascii="Arial" w:cs="Times New Roman" w:eastAsia="Times New Roman" w:hAnsi="Arial"/>
          <w:sz w:val="20"/>
        </w:rPr>
        <w:t xml:space="preserve">'industria farmaceutica e cosmetica. Grazie alle innumerevoli combinazioni possibili di attuatori, sistemi Bus e comandi, la valvola può essere adattata anche a molte altre applicazioni, come quelle </w:t>
      </w:r>
      <w:r>
        <w:rPr>
          <w:lang w:val="it-IT"/>
          <w:rFonts w:ascii="Arial" w:cs="Times New Roman" w:eastAsia="Times New Roman" w:hAnsi="Arial"/>
          <w:sz w:val="20"/>
        </w:rPr>
        <w:t xml:space="preserve">"real time</w:t>
      </w:r>
      <w:r>
        <w:rPr>
          <w:lang w:val="it-IT"/>
          <w:rFonts w:ascii="Arial" w:cs="Times New Roman" w:eastAsia="Times New Roman" w:hAnsi="Arial"/>
          <w:sz w:val="20"/>
        </w:rPr>
        <w:t xml:space="preserve">", in base alle esigenze del cliente.</w:t>
      </w:r>
    </w:p>
    <w:p w:rsidR="00E015C1" w:rsidRPr="00D2045A" w:rsidRDefault="00E015C1" w:rsidP="00D2045A">
      <w:pPr>
        <w:autoSpaceDE w:val="0"/>
        <w:autoSpaceDN w:val="0"/>
        <w:adjustRightInd w:val="0"/>
        <w:spacing w:line="360" w:lineRule="auto"/>
        <w:rPr>
          <w:rFonts w:cs="Arial"/>
          <w:sz w:val="18"/>
          <w:szCs w:val="18"/>
        </w:rPr>
      </w:pPr>
    </w:p>
    <w:sectPr w:rsidR="00E015C1" w:rsidRPr="00D2045A" w:rsidSect="003F748A">
      <w:type w:val="continuous"/>
      <w:pgSz w:w="11906" w:h="16838" w:code="9"/>
      <w:pgMar w:top="2552" w:right="794" w:bottom="2268" w:left="1418" w:header="567" w:footer="397" w:gutter="0"/>
      <w:cols w:space="86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endnote w:type="separator" w:id="-1">
    <w:p w:rsidR="005C4F45" w:rsidRDefault="005C4F45">
      <w:r>
        <w:separator/>
      </w:r>
    </w:p>
  </w:endnote>
  <w:endnote w:type="continuationSeparator" w:id="0">
    <w:p w:rsidR="005C4F45" w:rsidRDefault="005C4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p w:rsidR="005C4F45" w:rsidRPr="009D22F5" w:rsidRDefault="005C4F45" w:rsidP="005E7988">
    <w:pPr>
      <w:pStyle w:val="Fuzeile"/>
      <w:spacing w:line="240" w:lineRule="auto"/>
      <w:rPr>
        <w:vanish/>
      </w:rPr>
    </w:pPr>
    <w:r>
      <w:rPr>
        <w:lang w:val="it-IT"/>
        <w:rFonts w:ascii="Arial" w:cs="Times New Roman" w:eastAsia="Times New Roman" w:hAnsi="Arial"/>
        <w:vanish w:val="on"/>
        <w:sz w:val="14"/>
      </w:rPr>
      <w:t xml:space="preserve">GEMÜ Gebr. Müller Apparatebau GmbH &amp; Co. KG • Fritz-Müller-Str. 6-8 • D-74653 Ingelfingen</w:t>
    </w:r>
    <w:r>
      <w:rPr>
        <w:lang w:val="it-IT"/>
        <w:rFonts w:ascii="Arial" w:cs="Times New Roman" w:eastAsia="Times New Roman" w:hAnsi="Arial"/>
        <w:b w:val="off"/>
        <w:vanish w:val="on"/>
        <w:sz w:val="14"/>
      </w:rPr>
      <w:tab/>
    </w:r>
    <w:r>
      <w:rPr>
        <w:lang w:val="it-IT"/>
        <w:rFonts w:ascii="Arial" w:cs="Times New Roman" w:eastAsia="Times New Roman" w:hAnsi="Arial"/>
        <w:vanish w:val="on"/>
        <w:sz w:val="14"/>
      </w:rPr>
      <w:t xml:space="preserve">Seite </w:t>
    </w:r>
    <w:r w:rsidRPr="009D22F5">
      <w:rPr>
        <w:vanish/>
      </w:rPr>
      <w:fldChar w:fldCharType="begin"/>
    </w:r>
    <w:r w:rsidRPr="009D22F5">
      <w:rPr>
        <w:vanish/>
      </w:rPr>
      <w:instrText>PAGE  \* Arabic  \* MERGEFORMAT</w:instrText>
    </w:r>
    <w:r w:rsidRPr="009D22F5">
      <w:rPr>
        <w:vanish/>
      </w:rPr>
      <w:fldChar w:fldCharType="separate"/>
    </w:r>
    <w:r w:rsidR="009C2EAD" w:rsidRPr="009D22F5">
      <w:rPr>
        <w:noProof/>
        <w:vanish/>
      </w:rPr>
      <w:t>2</w:t>
    </w:r>
    <w:r w:rsidRPr="009D22F5">
      <w:rPr>
        <w:vanish/>
      </w:rPr>
      <w:fldChar w:fldCharType="end"/>
    </w:r>
    <w:r>
      <w:rPr>
        <w:lang w:val="it-IT"/>
        <w:rFonts w:ascii="Arial" w:cs="Times New Roman" w:eastAsia="Times New Roman" w:hAnsi="Arial"/>
        <w:vanish w:val="on"/>
        <w:sz w:val="14"/>
      </w:rPr>
      <w:t xml:space="preserve"> von </w:t>
    </w:r>
    <w:r w:rsidR="009D22F5" w:rsidRPr="009D22F5">
      <w:rPr>
        <w:vanish/>
      </w:rPr>
      <w:fldChar w:fldCharType="begin"/>
    </w:r>
    <w:r w:rsidR="009D22F5" w:rsidRPr="009D22F5">
      <w:rPr>
        <w:vanish/>
      </w:rPr>
      <w:instrText>NUMPAGES  \* Arabic  \* MERGEFORMAT</w:instrText>
    </w:r>
    <w:r w:rsidR="009D22F5" w:rsidRPr="009D22F5">
      <w:rPr>
        <w:vanish/>
      </w:rPr>
      <w:fldChar w:fldCharType="separate"/>
    </w:r>
    <w:r w:rsidR="009C2EAD" w:rsidRPr="009D22F5">
      <w:rPr>
        <w:noProof/>
        <w:vanish/>
      </w:rPr>
      <w:t>2</w:t>
    </w:r>
    <w:r w:rsidR="009D22F5" w:rsidRPr="009D22F5">
      <w:rPr>
        <w:noProof/>
        <w:vanish/>
      </w:rPr>
      <w:fldChar w:fldCharType="end"/>
    </w:r>
  </w:p>
  <w:p w:rsidR="005C4F45" w:rsidRPr="009D22F5" w:rsidRDefault="005C4F45" w:rsidP="005E7988">
    <w:pPr>
      <w:pStyle w:val="Webseite"/>
      <w:rPr>
        <w:vanish/>
        <w:color w:val="auto"/>
        <w:lang w:val="it-IT"/>
      </w:rPr>
    </w:pPr>
    <w:r>
      <w:rPr>
        <w:lang w:val="it-IT"/>
        <w:rFonts w:ascii="Arial" w:cs="Times New Roman" w:eastAsia="Times New Roman" w:hAnsi="Arial"/>
        <w:vanish w:val="on"/>
        <w:color w:val="auto"/>
        <w:sz w:val="14"/>
      </w:rPr>
      <w:t xml:space="preserve">Tel.: +49 (0) 7940 123-0 • Fax: +49 (0) 7940 123-192</w:t>
    </w:r>
  </w:p>
  <w:p w:rsidR="005C4F45" w:rsidRPr="009D22F5" w:rsidRDefault="005C4F45" w:rsidP="005E7988">
    <w:pPr>
      <w:pStyle w:val="Webseite"/>
      <w:rPr>
        <w:vanish/>
        <w:color w:val="FF0000"/>
        <w:lang w:val="it-IT"/>
      </w:rPr>
    </w:pPr>
    <w:r>
      <w:rPr>
        <w:lang w:val="it-IT"/>
        <w:rFonts w:ascii="Arial" w:cs="Times New Roman" w:eastAsia="Times New Roman" w:hAnsi="Arial"/>
        <w:vanish w:val="on"/>
        <w:color w:val="FF0000"/>
        <w:sz w:val="14"/>
      </w:rPr>
      <w:t xml:space="preserve">www.gemu-group.com</w:t>
    </w:r>
  </w:p>
  <w:p w:rsidR="005C4F45" w:rsidRPr="009D22F5" w:rsidRDefault="005C4F45" w:rsidP="005E7988">
    <w:pPr>
      <w:pStyle w:val="Webseite"/>
      <w:rPr>
        <w:vanish/>
        <w:color w:val="A6A6A6" w:themeColor="background1" w:themeShade="A6"/>
        <w:sz w:val="12"/>
        <w:szCs w:val="12"/>
        <w:lang w:val="it-IT"/>
      </w:rPr>
    </w:pPr>
  </w:p>
  <w:p w:rsidR="005C4F45" w:rsidRPr="009D22F5" w:rsidRDefault="005C4F45" w:rsidP="005E7988">
    <w:pPr>
      <w:pStyle w:val="Webseite"/>
      <w:rPr>
        <w:vanish/>
        <w:color w:val="A6A6A6" w:themeColor="background1" w:themeShade="A6"/>
        <w:sz w:val="10"/>
        <w:szCs w:val="10"/>
      </w:rPr>
    </w:pPr>
    <w:r>
      <w:rPr>
        <w:lang w:val="it-IT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Kommanditgesellschaft: Sitz 74653 Ingelfingen, Registergericht Stuttgart HRA 590394; Komplementärin: Gebr. Müller GmbH, Sitz 74653 Ingelfingen, Registergericht Stuttgart HRB 590215</w:t>
    </w:r>
  </w:p>
  <w:p w:rsidR="005C4F45" w:rsidRPr="009D22F5" w:rsidRDefault="005C4F45" w:rsidP="005E7988">
    <w:pPr>
      <w:pStyle w:val="Webseite"/>
      <w:rPr>
        <w:vanish/>
        <w:color w:val="A6A6A6" w:themeColor="background1" w:themeShade="A6"/>
        <w:sz w:val="10"/>
        <w:szCs w:val="10"/>
      </w:rPr>
    </w:pPr>
    <w:r>
      <w:rPr>
        <w:lang w:val="it-IT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Geschäftsführer: Fritz Müller, Gert Müller, Stephan Müller</w:t>
    </w:r>
  </w:p>
  <w:p w:rsidR="005C4F45" w:rsidRPr="009D22F5" w:rsidRDefault="005C4F45" w:rsidP="005E7988">
    <w:pPr>
      <w:pStyle w:val="Webseite"/>
      <w:rPr>
        <w:vanish/>
        <w:color w:val="A6A6A6" w:themeColor="background1" w:themeShade="A6"/>
        <w:sz w:val="10"/>
        <w:szCs w:val="10"/>
      </w:rPr>
    </w:pPr>
    <w:proofErr w:type="spellStart"/>
    <w:proofErr w:type="spellEnd"/>
    <w:r>
      <w:rPr>
        <w:lang w:val="it-IT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Ust</w:t>
    </w:r>
    <w:r>
      <w:rPr>
        <w:lang w:val="it-IT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.-ID-Nr.: DE 146281082 • Steuer-Nr.: 76050/04341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p w:rsidR="005C4F45" w:rsidRPr="009D22F5" w:rsidRDefault="005C4F45" w:rsidP="003B6A50">
    <w:pPr>
      <w:pStyle w:val="Fuzeile"/>
      <w:spacing w:line="240" w:lineRule="auto"/>
      <w:rPr>
        <w:vanish/>
      </w:rPr>
    </w:pPr>
    <w:r>
      <w:rPr>
        <w:lang w:val="it-IT"/>
        <w:rFonts w:ascii="Arial" w:cs="Times New Roman" w:eastAsia="Times New Roman" w:hAnsi="Arial"/>
        <w:vanish w:val="on"/>
        <w:sz w:val="14"/>
      </w:rPr>
      <w:t xml:space="preserve">GEMÜ Gebr. Müller Apparatebau GmbH &amp; Co. KG • Fritz-Müller-Str. 6-8 • D-74653 Ingelfingen</w:t>
    </w:r>
    <w:r>
      <w:rPr>
        <w:lang w:val="it-IT"/>
        <w:rFonts w:ascii="Arial" w:cs="Times New Roman" w:eastAsia="Times New Roman" w:hAnsi="Arial"/>
        <w:b w:val="off"/>
        <w:vanish w:val="on"/>
        <w:sz w:val="14"/>
      </w:rPr>
      <w:tab/>
    </w:r>
    <w:r>
      <w:rPr>
        <w:lang w:val="it-IT"/>
        <w:rFonts w:ascii="Arial" w:cs="Times New Roman" w:eastAsia="Times New Roman" w:hAnsi="Arial"/>
        <w:vanish w:val="on"/>
        <w:sz w:val="14"/>
      </w:rPr>
      <w:t xml:space="preserve">Seite </w:t>
    </w:r>
    <w:r w:rsidRPr="009D22F5">
      <w:rPr>
        <w:vanish/>
      </w:rPr>
      <w:fldChar w:fldCharType="begin"/>
    </w:r>
    <w:r w:rsidRPr="009D22F5">
      <w:rPr>
        <w:vanish/>
      </w:rPr>
      <w:instrText>PAGE  \* Arabic  \* MERGEFORMAT</w:instrText>
    </w:r>
    <w:r w:rsidRPr="009D22F5">
      <w:rPr>
        <w:vanish/>
      </w:rPr>
      <w:fldChar w:fldCharType="separate"/>
    </w:r>
    <w:r w:rsidR="009C2EAD" w:rsidRPr="009D22F5">
      <w:rPr>
        <w:noProof/>
        <w:vanish/>
      </w:rPr>
      <w:t>1</w:t>
    </w:r>
    <w:r w:rsidRPr="009D22F5">
      <w:rPr>
        <w:vanish/>
      </w:rPr>
      <w:fldChar w:fldCharType="end"/>
    </w:r>
    <w:r>
      <w:rPr>
        <w:lang w:val="it-IT"/>
        <w:rFonts w:ascii="Arial" w:cs="Times New Roman" w:eastAsia="Times New Roman" w:hAnsi="Arial"/>
        <w:vanish w:val="on"/>
        <w:sz w:val="14"/>
      </w:rPr>
      <w:t xml:space="preserve"> von </w:t>
    </w:r>
    <w:r w:rsidR="009D22F5" w:rsidRPr="009D22F5">
      <w:rPr>
        <w:vanish/>
      </w:rPr>
      <w:fldChar w:fldCharType="begin"/>
    </w:r>
    <w:r w:rsidR="009D22F5" w:rsidRPr="009D22F5">
      <w:rPr>
        <w:vanish/>
      </w:rPr>
      <w:instrText>NUMPAGES  \* Arabic  \* MERGEFORMAT</w:instrText>
    </w:r>
    <w:r w:rsidR="009D22F5" w:rsidRPr="009D22F5">
      <w:rPr>
        <w:vanish/>
      </w:rPr>
      <w:fldChar w:fldCharType="separate"/>
    </w:r>
    <w:r w:rsidR="009C2EAD" w:rsidRPr="009D22F5">
      <w:rPr>
        <w:noProof/>
        <w:vanish/>
      </w:rPr>
      <w:t>2</w:t>
    </w:r>
    <w:r w:rsidR="009D22F5" w:rsidRPr="009D22F5">
      <w:rPr>
        <w:noProof/>
        <w:vanish/>
      </w:rPr>
      <w:fldChar w:fldCharType="end"/>
    </w:r>
  </w:p>
  <w:p w:rsidR="005C4F45" w:rsidRPr="009D22F5" w:rsidRDefault="005C4F45" w:rsidP="003B6A50">
    <w:pPr>
      <w:pStyle w:val="Webseite"/>
      <w:rPr>
        <w:vanish/>
        <w:color w:val="auto"/>
        <w:lang w:val="it-IT"/>
      </w:rPr>
    </w:pPr>
    <w:r>
      <w:rPr>
        <w:lang w:val="it-IT"/>
        <w:rFonts w:ascii="Arial" w:cs="Times New Roman" w:eastAsia="Times New Roman" w:hAnsi="Arial"/>
        <w:vanish w:val="on"/>
        <w:color w:val="auto"/>
        <w:sz w:val="14"/>
      </w:rPr>
      <w:t xml:space="preserve">Tel.: +49 (0) 7940 123-0 • Fax: +49 (0) 7940 123-192</w:t>
    </w:r>
  </w:p>
  <w:p w:rsidR="005C4F45" w:rsidRPr="009D22F5" w:rsidRDefault="005C4F45" w:rsidP="003B6A50">
    <w:pPr>
      <w:pStyle w:val="Webseite"/>
      <w:rPr>
        <w:vanish/>
        <w:color w:val="FF0000"/>
        <w:lang w:val="it-IT"/>
      </w:rPr>
    </w:pPr>
    <w:r>
      <w:rPr>
        <w:lang w:val="it-IT"/>
        <w:rFonts w:ascii="Arial" w:cs="Times New Roman" w:eastAsia="Times New Roman" w:hAnsi="Arial"/>
        <w:vanish w:val="on"/>
        <w:color w:val="FF0000"/>
        <w:sz w:val="14"/>
      </w:rPr>
      <w:t xml:space="preserve">www.gemu-group.com</w:t>
    </w:r>
  </w:p>
  <w:p w:rsidR="005C4F45" w:rsidRPr="009D22F5" w:rsidRDefault="005C4F45" w:rsidP="003B6A50">
    <w:pPr>
      <w:pStyle w:val="Webseite"/>
      <w:rPr>
        <w:vanish/>
        <w:color w:val="A6A6A6" w:themeColor="background1" w:themeShade="A6"/>
        <w:sz w:val="12"/>
        <w:szCs w:val="12"/>
        <w:lang w:val="it-IT"/>
      </w:rPr>
    </w:pPr>
  </w:p>
  <w:p w:rsidR="005C4F45" w:rsidRPr="009D22F5" w:rsidRDefault="005C4F45" w:rsidP="003B6A50">
    <w:pPr>
      <w:pStyle w:val="Webseite"/>
      <w:rPr>
        <w:vanish/>
        <w:color w:val="A6A6A6" w:themeColor="background1" w:themeShade="A6"/>
        <w:sz w:val="10"/>
        <w:szCs w:val="10"/>
      </w:rPr>
    </w:pPr>
    <w:r>
      <w:rPr>
        <w:lang w:val="it-IT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Kommanditgesellschaft: Sitz 74653 Ingelfingen, Registergericht Stuttgart HRA 590394; Komplementärin: Gebr. Müller GmbH, Sitz 74653 Ingelfingen, Registergericht Stuttgart HRB 590215</w:t>
    </w:r>
  </w:p>
  <w:p w:rsidR="005C4F45" w:rsidRPr="009D22F5" w:rsidRDefault="005C4F45" w:rsidP="003B6A50">
    <w:pPr>
      <w:pStyle w:val="Webseite"/>
      <w:rPr>
        <w:vanish/>
        <w:color w:val="A6A6A6" w:themeColor="background1" w:themeShade="A6"/>
        <w:sz w:val="10"/>
        <w:szCs w:val="10"/>
      </w:rPr>
    </w:pPr>
    <w:r>
      <w:rPr>
        <w:lang w:val="it-IT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Geschäftsführer: Fritz Müller, Gert Müller, Stephan Müller</w:t>
    </w:r>
  </w:p>
  <w:p w:rsidR="005C4F45" w:rsidRPr="009D22F5" w:rsidRDefault="005C4F45" w:rsidP="003B6A50">
    <w:pPr>
      <w:pStyle w:val="Webseite"/>
      <w:rPr>
        <w:vanish/>
        <w:color w:val="A6A6A6" w:themeColor="background1" w:themeShade="A6"/>
        <w:sz w:val="10"/>
        <w:szCs w:val="10"/>
      </w:rPr>
    </w:pPr>
    <w:proofErr w:type="spellStart"/>
    <w:proofErr w:type="spellEnd"/>
    <w:r>
      <w:rPr>
        <w:lang w:val="it-IT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Ust</w:t>
    </w:r>
    <w:r>
      <w:rPr>
        <w:lang w:val="it-IT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.-ID-Nr.: DE 146281082 • Steuer-Nr.: 76050/04341</w:t>
    </w:r>
  </w:p>
  <w:p w:rsidR="005C4F45" w:rsidRDefault="005C4F4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footnote w:type="separator" w:id="-1">
    <w:p w:rsidR="005C4F45" w:rsidRDefault="005C4F45">
      <w:r>
        <w:separator/>
      </w:r>
    </w:p>
  </w:footnote>
  <w:footnote w:type="continuationSeparator" w:id="0">
    <w:p w:rsidR="005C4F45" w:rsidRDefault="005C4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p w:rsidR="005C4F45" w:rsidRDefault="005C4F45" w:rsidP="00AB67D2">
    <w:pPr>
      <w:pStyle w:val="Kopfzeile"/>
      <w:tabs>
        <w:tab w:val="clear" w:pos="9072"/>
      </w:tabs>
      <w:ind w:right="-87"/>
      <w:jc w:val="right"/>
    </w:pPr>
  </w:p>
  <w:p w:rsidR="005C4F45" w:rsidRPr="00BC617B" w:rsidRDefault="005C4F45" w:rsidP="00D251F2">
    <w:pPr>
      <w:pStyle w:val="Kopfzeile"/>
      <w:tabs>
        <w:tab w:val="clear" w:pos="9072"/>
      </w:tabs>
      <w:ind w:right="-3288"/>
      <w:rPr>
        <w:b/>
      </w:rPr>
    </w:pPr>
    <w:r>
      <w:rPr>
        <w:lang w:val="it-IT"/>
        <w:rFonts w:ascii="Arial" w:cs="Times New Roman" w:eastAsia="Times New Roman" w:hAnsi="Arial"/>
        <w:sz w:val="18"/>
        <w:noProof w:val="on"/>
      </w:rPr>
      <w:drawing>
        <wp:anchor distT="0" distB="0" distL="114300" distR="114300" simplePos="0" relativeHeight="251664896" behindDoc="0" locked="0" layoutInCell="1" allowOverlap="1" wp14:anchorId="0836B4AE" wp14:editId="35BE2D03">
          <wp:simplePos x="0" y="0"/>
          <wp:positionH relativeFrom="margin">
            <wp:posOffset>4526389</wp:posOffset>
          </wp:positionH>
          <wp:positionV relativeFrom="margin">
            <wp:posOffset>-1103630</wp:posOffset>
          </wp:positionV>
          <wp:extent cx="1620000" cy="252730"/>
          <wp:effectExtent l="0" t="0" r="0" b="0"/>
          <wp:wrapSquare wrapText="bothSides"/>
          <wp:docPr id="3" name="Grafik 3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it-IT"/>
        <w:rFonts w:ascii="Arial" w:cs="Times New Roman" w:eastAsia="Times New Roman" w:hAnsi="Arial"/>
        <w:b w:val="on"/>
        <w:sz w:val="18"/>
      </w:rPr>
      <w:tab/>
    </w:r>
    <w:r>
      <w:rPr>
        <w:lang w:val="it-IT"/>
        <w:rFonts w:ascii="Arial" w:cs="Times New Roman" w:eastAsia="Times New Roman" w:hAnsi="Arial"/>
        <w:b w:val="on"/>
        <w:sz w:val="18"/>
      </w:rPr>
      <w:tab/>
    </w:r>
    <w:r>
      <w:rPr>
        <w:lang w:val="it-IT"/>
        <w:rFonts w:ascii="Arial" w:cs="Times New Roman" w:eastAsia="Times New Roman" w:hAnsi="Arial"/>
        <w:b w:val="on"/>
        <w:sz w:val="18"/>
      </w:rPr>
      <w:tab/>
    </w:r>
    <w:r>
      <w:rPr>
        <w:lang w:val="it-IT"/>
        <w:rFonts w:ascii="Arial" w:cs="Times New Roman" w:eastAsia="Times New Roman" w:hAnsi="Arial"/>
        <w:b w:val="on"/>
        <w:sz w:val="18"/>
      </w:rPr>
      <w:tab/>
    </w:r>
    <w:r>
      <w:rPr>
        <w:lang w:val="it-IT"/>
        <w:rFonts w:ascii="Arial" w:cs="Times New Roman" w:eastAsia="Times New Roman" w:hAnsi="Arial"/>
        <w:b w:val="on"/>
        <w:sz w:val="18"/>
      </w:rPr>
      <w:t xml:space="preserve">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p w:rsidR="005C4F45" w:rsidRDefault="005C4F45" w:rsidP="00BA7E08">
    <w:pPr>
      <w:pStyle w:val="Kopfzeile"/>
      <w:tabs>
        <w:tab w:val="clear" w:pos="9072"/>
        <w:tab w:val="right" w:pos="7088"/>
      </w:tabs>
    </w:pPr>
    <w:r>
      <w:rPr>
        <w:lang w:val="it-IT"/>
        <w:rFonts w:ascii="Arial" w:cs="Times New Roman" w:eastAsia="Times New Roman" w:hAnsi="Arial"/>
        <w:sz w:val="18"/>
        <w:noProof w:val="on"/>
      </w:rPr>
      <w:drawing>
        <wp:anchor distT="0" distB="0" distL="114300" distR="114300" simplePos="0" relativeHeight="251662848" behindDoc="0" locked="0" layoutInCell="1" allowOverlap="1" wp14:anchorId="2B6A1C26">
          <wp:simplePos x="0" y="0"/>
          <wp:positionH relativeFrom="margin">
            <wp:posOffset>4495165</wp:posOffset>
          </wp:positionH>
          <wp:positionV relativeFrom="margin">
            <wp:posOffset>-890402</wp:posOffset>
          </wp:positionV>
          <wp:extent cx="1620000" cy="252730"/>
          <wp:effectExtent l="0" t="0" r="0" b="0"/>
          <wp:wrapSquare wrapText="bothSides"/>
          <wp:docPr id="2" name="Grafik 2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it-IT"/>
        <w:rFonts w:ascii="Arial" w:cs="Times New Roman" w:eastAsia="Times New Roman" w:hAnsi="Arial"/>
        <w:sz w:val="18"/>
        <w:noProof w:val="on"/>
      </w:rPr>
      <w:drawing>
        <wp:anchor distT="0" distB="0" distL="114300" distR="114300" simplePos="0" relativeHeight="251659776" behindDoc="0" locked="0" layoutInCell="1" allowOverlap="1" wp14:anchorId="5F2FEA8B" wp14:editId="4C45B342">
          <wp:simplePos x="0" y="0"/>
          <wp:positionH relativeFrom="column">
            <wp:posOffset>4394835</wp:posOffset>
          </wp:positionH>
          <wp:positionV relativeFrom="paragraph">
            <wp:posOffset>720725</wp:posOffset>
          </wp:positionV>
          <wp:extent cx="2051050" cy="767715"/>
          <wp:effectExtent l="0" t="0" r="6350" b="0"/>
          <wp:wrapNone/>
          <wp:docPr id="5" name="Textfe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microsoft.com/office/word/2010/wordprocessingShape">
              <wps:wsp>
                <wps:cNvSpPr txBox="1">
                  <a:spLocks noChangeArrowheads="1"/>
                </wps:cNvSpPr>
                <wps:spPr bwMode="auto">
                  <a:xfrm>
                    <a:off x="0" y="0"/>
                    <a:ext cx="2051050" cy="7677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wps:spPr>
                <wps:txbx>
                  <w:txbxContent>
                    <w:p w:rsidR="005C4F45" w:rsidRPr="009D22F5" w:rsidRDefault="005C4F45" w:rsidP="00AB67D2">
                      <w:pPr>
                        <w:pStyle w:val="Kopfzeile"/>
                        <w:ind w:right="-189"/>
                        <w:rPr>
                          <w:vanish/>
                          <w:lang w:val="it-IT"/>
                        </w:rPr>
                      </w:pPr>
                      <w:r>
                        <w:rPr>
                          <w:lang w:val="it-IT"/>
                          <w:rFonts w:ascii="Arial" w:cs="Times New Roman" w:eastAsia="Times New Roman" w:hAnsi="Arial"/>
                          <w:vanish w:val="on"/>
                          <w:sz w:val="18"/>
                        </w:rPr>
                        <w:t xml:space="preserve">Corporate Communication</w:t>
                      </w:r>
                    </w:p>
                    <w:p w:rsidR="005C4F45" w:rsidRPr="009D22F5" w:rsidRDefault="005C4F45" w:rsidP="003B6A50">
                      <w:pPr>
                        <w:pStyle w:val="Kopfzeile"/>
                        <w:rPr>
                          <w:vanish/>
                          <w:lang w:val="it-IT"/>
                        </w:rPr>
                      </w:pPr>
                      <w:r>
                        <w:rPr>
                          <w:lang w:val="it-IT"/>
                          <w:rFonts w:ascii="Arial" w:cs="Times New Roman" w:eastAsia="Times New Roman" w:hAnsi="Arial"/>
                          <w:vanish w:val="on"/>
                          <w:sz w:val="18"/>
                        </w:rPr>
                        <w:t xml:space="preserve">Ivona Jovic</w:t>
                      </w:r>
                    </w:p>
                    <w:p w:rsidR="005C4F45" w:rsidRPr="009D22F5" w:rsidRDefault="005C4F45" w:rsidP="003B6A50">
                      <w:pPr>
                        <w:pStyle w:val="Kopfzeile"/>
                        <w:rPr>
                          <w:vanish/>
                          <w:lang w:val="it-IT"/>
                        </w:rPr>
                      </w:pPr>
                      <w:r>
                        <w:rPr>
                          <w:lang w:val="it-IT"/>
                          <w:rFonts w:ascii="Arial" w:cs="Times New Roman" w:eastAsia="Times New Roman" w:hAnsi="Arial"/>
                          <w:vanish w:val="on"/>
                          <w:sz w:val="18"/>
                        </w:rPr>
                        <w:t xml:space="preserve">Tel.: +49 (0) 7940 123-708</w:t>
                      </w:r>
                    </w:p>
                    <w:p w:rsidR="005C4F45" w:rsidRPr="009D22F5" w:rsidRDefault="005C4F45" w:rsidP="003B6A50">
                      <w:pPr>
                        <w:pStyle w:val="Kopfzeile"/>
                        <w:rPr>
                          <w:vanish/>
                        </w:rPr>
                      </w:pPr>
                      <w:r>
                        <w:rPr>
                          <w:lang w:val="it-IT"/>
                          <w:rFonts w:ascii="Arial" w:cs="Times New Roman" w:eastAsia="Times New Roman" w:hAnsi="Arial"/>
                          <w:vanish w:val="on"/>
                          <w:sz w:val="18"/>
                        </w:rPr>
                        <w:t xml:space="preserve">Fax: +49 (0) 7940 123-487</w:t>
                      </w:r>
                    </w:p>
                    <w:p w:rsidR="005C4F45" w:rsidRPr="009D22F5" w:rsidRDefault="005C4F45" w:rsidP="003B6A50">
                      <w:pPr>
                        <w:pStyle w:val="Kopfzeile"/>
                        <w:rPr>
                          <w:vanish/>
                        </w:rPr>
                      </w:pPr>
                      <w:r>
                        <w:rPr>
                          <w:lang w:val="it-IT"/>
                          <w:rFonts w:ascii="Arial" w:cs="Times New Roman" w:eastAsia="Times New Roman" w:hAnsi="Arial"/>
                          <w:vanish w:val="on"/>
                          <w:sz w:val="18"/>
                        </w:rPr>
                        <w:t xml:space="preserve">E-Mail: ivona.jovic@gemue.de</w:t>
                      </w:r>
                    </w:p>
                  </w:txbxContent>
                </wps:txbx>
                <wps:bodyPr rot="0" vert="horz" wrap="square" lIns="91440" tIns="45720" rIns="91440" bIns="45720" anchor="t" anchorCtr="0" upright="1">
                  <a:noAutofit/>
                </wps:bodyPr>
              </wps:wsp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it-IT"/>
        <w:rFonts w:ascii="Arial" w:cs="Times New Roman" w:eastAsia="Times New Roman" w:hAnsi="Arial"/>
        <w:sz w:val="18"/>
        <w:noProof w:val="on"/>
      </w:rPr>
      <w:drawing>
        <wp:anchor distT="0" distB="0" distL="114300" distR="114300" simplePos="0" relativeHeight="251661824" behindDoc="0" locked="1" layoutInCell="1" allowOverlap="0" wp14:anchorId="28FABFDF" wp14:editId="369FA022">
          <wp:simplePos x="0" y="0"/>
          <wp:positionH relativeFrom="page">
            <wp:posOffset>894080</wp:posOffset>
          </wp:positionH>
          <wp:positionV relativeFrom="page">
            <wp:posOffset>1993265</wp:posOffset>
          </wp:positionV>
          <wp:extent cx="3060065" cy="292735"/>
          <wp:effectExtent l="0" t="0" r="6985" b="12065"/>
          <wp:wrapNone/>
          <wp:docPr id="1" name="Text Box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microsoft.com/office/word/2010/wordprocessingShape">
              <wps:wsp>
                <wps:cNvSpPr txBox="1">
                  <a:spLocks noChangeArrowheads="1"/>
                </wps:cNvSpPr>
                <wps:spPr bwMode="auto">
                  <a:xfrm>
                    <a:off x="0" y="0"/>
                    <a:ext cx="306006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wps:spPr>
                <wps:txbx>
                  <w:txbxContent>
                    <w:p w:rsidR="005C4F45" w:rsidRPr="00027DB4" w:rsidRDefault="005C4F45" w:rsidP="00027DB4">
                      <w:pPr>
                        <w:pStyle w:val="Titel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lang w:val="it-IT"/>
                          <w:rFonts w:ascii="Arial" w:cs="majorBidi" w:eastAsia="majorEastAsia" w:hAnsi="Arial" w:cstheme="majorBidi" w:eastAsiaTheme="majorEastAsia"/>
                          <w:b w:val="off"/>
                          <w:sz w:val="24"/>
                          <w:kern w:val="28"/>
                          <w:spacing w:val="5"/>
                        </w:rPr>
                        <w:t xml:space="preserve">COMUNICATO STAMPA</w:t>
                      </w:r>
                    </w:p>
                  </w:txbxContent>
                </wps:txbx>
                <wps:bodyPr rot="0" vert="horz" wrap="square" lIns="0" tIns="0" rIns="0" bIns="0" anchor="t" anchorCtr="0" upright="1">
                  <a:noAutofit/>
                </wps:bodyPr>
              </wps:wsp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it-IT"/>
        <w:rFonts w:ascii="Arial" w:cs="Times New Roman" w:eastAsia="Times New Roman" w:hAnsi="Arial"/>
        <w:sz w:val="18"/>
      </w:rPr>
      <w:tab/>
    </w:r>
    <w:r>
      <w:rPr>
        <w:lang w:val="it-IT"/>
        <w:rFonts w:ascii="Arial" w:cs="Times New Roman" w:eastAsia="Times New Roman" w:hAnsi="Arial"/>
        <w:sz w:val="18"/>
      </w:rPr>
      <w:tab/>
    </w:r>
    <w:r>
      <w:rPr>
        <w:lang w:val="it-IT"/>
        <w:rFonts w:ascii="Arial" w:cs="Times New Roman" w:eastAsia="Times New Roman" w:hAnsi="Arial"/>
        <w:sz w:val="18"/>
      </w:rPr>
      <w:tab/>
    </w:r>
    <w:r>
      <w:rPr>
        <w:lang w:val="it-IT"/>
        <w:rFonts w:ascii="Arial" w:cs="Times New Roman" w:eastAsia="Times New Roman" w:hAnsi="Arial"/>
        <w:sz w:val="18"/>
      </w:rPr>
      <w:tab/>
    </w:r>
    <w:r>
      <w:rPr>
        <w:lang w:val="it-IT"/>
        <w:rFonts w:ascii="Arial" w:cs="Times New Roman" w:eastAsia="Times New Roman" w:hAnsi="Arial"/>
        <w:sz w:val="18"/>
      </w:rPr>
      <w:tab/>
    </w:r>
    <w:r>
      <w:rPr>
        <w:lang w:val="it-IT"/>
        <w:rFonts w:ascii="Arial" w:cs="Times New Roman" w:eastAsia="Times New Roman" w:hAnsi="Arial"/>
        <w:sz w:val="18"/>
      </w:rPr>
      <w:tab/>
    </w:r>
    <w:r>
      <w:rPr>
        <w:lang w:val="it-IT"/>
        <w:rFonts w:ascii="Arial" w:cs="Times New Roman" w:eastAsia="Times New Roman" w:hAnsi="Arial"/>
        <w:sz w:val="18"/>
      </w:rPr>
      <w:tab/>
    </w:r>
    <w:r>
      <w:rPr>
        <w:lang w:val="it-IT"/>
        <w:rFonts w:ascii="Arial" w:cs="Times New Roman" w:eastAsia="Times New Roman" w:hAnsi="Arial"/>
        <w:sz w:val="18"/>
      </w:rPr>
      <w:tab/>
    </w:r>
    <w:r>
      <w:rPr>
        <w:lang w:val="it-IT"/>
        <w:rFonts w:ascii="Arial" w:cs="Times New Roman" w:eastAsia="Times New Roman" w:hAnsi="Arial"/>
        <w:sz w:val="18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abstractNum w:abstractNumId="0" w15:restartNumberingAfterBreak="0">
    <w:nsid w:val="FFFFFF89"/>
    <w:multiLevelType w:val="singleLevel"/>
    <w:tmpl w:val="5A34175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83B1C1A"/>
    <w:multiLevelType w:val="hybridMultilevel"/>
    <w:tmpl w:val="EE9EE15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  <w:color w:val="FF000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B3995"/>
    <w:multiLevelType w:val="hybridMultilevel"/>
    <w:tmpl w:val="A75E4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84B55"/>
    <w:multiLevelType w:val="hybridMultilevel"/>
    <w:tmpl w:val="CC7EA988"/>
    <w:lvl w:ilvl="0" w:tplc="5D4ED110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F92BF3"/>
    <w:multiLevelType w:val="hybridMultilevel"/>
    <w:tmpl w:val="5812FBCA"/>
    <w:lvl w:ilvl="0" w:tplc="04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64C2243E"/>
    <w:multiLevelType w:val="hybridMultilevel"/>
    <w:tmpl w:val="4F8ACF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2639F1"/>
    <w:multiLevelType w:val="hybridMultilevel"/>
    <w:tmpl w:val="1C1A99E6"/>
    <w:lvl w:ilvl="0" w:tplc="B0B0BF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xmlns:star_td="http://www.star-group.net/schemas/transit/filters/textdata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mailingLabels"/>
    <w:dataType w:val="textFile"/>
    <w:activeRecord w:val="-1"/>
  </w:mailMerge>
  <w:defaultTabStop w:val="709"/>
  <w:hyphenationZone w:val="425"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69C0"/>
    <w:rsid w:val="000050CC"/>
    <w:rsid w:val="0000750A"/>
    <w:rsid w:val="00027DB4"/>
    <w:rsid w:val="00043833"/>
    <w:rsid w:val="000460C8"/>
    <w:rsid w:val="00050DB0"/>
    <w:rsid w:val="00054CE7"/>
    <w:rsid w:val="00092213"/>
    <w:rsid w:val="000B788E"/>
    <w:rsid w:val="000F0D01"/>
    <w:rsid w:val="0010051D"/>
    <w:rsid w:val="00103DB9"/>
    <w:rsid w:val="0012162D"/>
    <w:rsid w:val="00130D38"/>
    <w:rsid w:val="001515AC"/>
    <w:rsid w:val="00154248"/>
    <w:rsid w:val="00164461"/>
    <w:rsid w:val="001652F1"/>
    <w:rsid w:val="00165612"/>
    <w:rsid w:val="00181F6B"/>
    <w:rsid w:val="001854C6"/>
    <w:rsid w:val="001976BD"/>
    <w:rsid w:val="001A02BE"/>
    <w:rsid w:val="001A1E3F"/>
    <w:rsid w:val="001B1F0B"/>
    <w:rsid w:val="001F7B46"/>
    <w:rsid w:val="0021145E"/>
    <w:rsid w:val="00213155"/>
    <w:rsid w:val="00232566"/>
    <w:rsid w:val="0023585A"/>
    <w:rsid w:val="00235AEA"/>
    <w:rsid w:val="002429B4"/>
    <w:rsid w:val="00251978"/>
    <w:rsid w:val="002644DE"/>
    <w:rsid w:val="00275CF6"/>
    <w:rsid w:val="00277815"/>
    <w:rsid w:val="00294B5A"/>
    <w:rsid w:val="002A0855"/>
    <w:rsid w:val="002A204C"/>
    <w:rsid w:val="002E338F"/>
    <w:rsid w:val="00305F51"/>
    <w:rsid w:val="0031460C"/>
    <w:rsid w:val="00316E53"/>
    <w:rsid w:val="00322CB1"/>
    <w:rsid w:val="00333604"/>
    <w:rsid w:val="00351701"/>
    <w:rsid w:val="00353F39"/>
    <w:rsid w:val="00360B23"/>
    <w:rsid w:val="00372B94"/>
    <w:rsid w:val="00375C23"/>
    <w:rsid w:val="00382444"/>
    <w:rsid w:val="00383575"/>
    <w:rsid w:val="00383CC0"/>
    <w:rsid w:val="00385C06"/>
    <w:rsid w:val="00390B46"/>
    <w:rsid w:val="00390F08"/>
    <w:rsid w:val="00394792"/>
    <w:rsid w:val="003A1E1C"/>
    <w:rsid w:val="003B6A50"/>
    <w:rsid w:val="003E0E12"/>
    <w:rsid w:val="003E5D55"/>
    <w:rsid w:val="003F040C"/>
    <w:rsid w:val="003F748A"/>
    <w:rsid w:val="00401E5B"/>
    <w:rsid w:val="0041214D"/>
    <w:rsid w:val="004138C6"/>
    <w:rsid w:val="00414180"/>
    <w:rsid w:val="004150D8"/>
    <w:rsid w:val="00416142"/>
    <w:rsid w:val="004205AD"/>
    <w:rsid w:val="00430004"/>
    <w:rsid w:val="0045085D"/>
    <w:rsid w:val="004673E1"/>
    <w:rsid w:val="0049316D"/>
    <w:rsid w:val="00495F2F"/>
    <w:rsid w:val="004A01E1"/>
    <w:rsid w:val="004A474D"/>
    <w:rsid w:val="004A5F7D"/>
    <w:rsid w:val="004C52F6"/>
    <w:rsid w:val="004C6A28"/>
    <w:rsid w:val="004E0B29"/>
    <w:rsid w:val="005137A3"/>
    <w:rsid w:val="0051628F"/>
    <w:rsid w:val="00517635"/>
    <w:rsid w:val="00522FC7"/>
    <w:rsid w:val="00523FC0"/>
    <w:rsid w:val="00524529"/>
    <w:rsid w:val="00544B1E"/>
    <w:rsid w:val="00546804"/>
    <w:rsid w:val="00552C4E"/>
    <w:rsid w:val="00571FB7"/>
    <w:rsid w:val="0057388F"/>
    <w:rsid w:val="00574C6D"/>
    <w:rsid w:val="005B5508"/>
    <w:rsid w:val="005B622D"/>
    <w:rsid w:val="005C4F45"/>
    <w:rsid w:val="005D2037"/>
    <w:rsid w:val="005E571A"/>
    <w:rsid w:val="005E75E6"/>
    <w:rsid w:val="005E7988"/>
    <w:rsid w:val="005F1067"/>
    <w:rsid w:val="00637169"/>
    <w:rsid w:val="00642478"/>
    <w:rsid w:val="00650358"/>
    <w:rsid w:val="00656F6C"/>
    <w:rsid w:val="0069167D"/>
    <w:rsid w:val="0069406E"/>
    <w:rsid w:val="00697EFD"/>
    <w:rsid w:val="006A393C"/>
    <w:rsid w:val="006B12C6"/>
    <w:rsid w:val="006B447A"/>
    <w:rsid w:val="006B4A94"/>
    <w:rsid w:val="006D4B66"/>
    <w:rsid w:val="00702357"/>
    <w:rsid w:val="0071741A"/>
    <w:rsid w:val="007213F4"/>
    <w:rsid w:val="0072338D"/>
    <w:rsid w:val="00726FEE"/>
    <w:rsid w:val="00731EB5"/>
    <w:rsid w:val="00736752"/>
    <w:rsid w:val="00740880"/>
    <w:rsid w:val="00744D08"/>
    <w:rsid w:val="00747743"/>
    <w:rsid w:val="00753936"/>
    <w:rsid w:val="00766A2D"/>
    <w:rsid w:val="00796C60"/>
    <w:rsid w:val="007A08CC"/>
    <w:rsid w:val="007A2595"/>
    <w:rsid w:val="007B2565"/>
    <w:rsid w:val="007B6EB1"/>
    <w:rsid w:val="007C5A73"/>
    <w:rsid w:val="007E392B"/>
    <w:rsid w:val="007E7946"/>
    <w:rsid w:val="007F606E"/>
    <w:rsid w:val="00817547"/>
    <w:rsid w:val="008279E1"/>
    <w:rsid w:val="00831819"/>
    <w:rsid w:val="00874B37"/>
    <w:rsid w:val="008819AD"/>
    <w:rsid w:val="0088749B"/>
    <w:rsid w:val="008A5C29"/>
    <w:rsid w:val="008C5A36"/>
    <w:rsid w:val="008D7016"/>
    <w:rsid w:val="008F1259"/>
    <w:rsid w:val="008F7DBE"/>
    <w:rsid w:val="009021DB"/>
    <w:rsid w:val="009101CE"/>
    <w:rsid w:val="00922EA4"/>
    <w:rsid w:val="009340F8"/>
    <w:rsid w:val="009369BE"/>
    <w:rsid w:val="00936DA0"/>
    <w:rsid w:val="009534F3"/>
    <w:rsid w:val="00961638"/>
    <w:rsid w:val="00963325"/>
    <w:rsid w:val="00963CD3"/>
    <w:rsid w:val="009662C2"/>
    <w:rsid w:val="009707CA"/>
    <w:rsid w:val="009879D4"/>
    <w:rsid w:val="009A501D"/>
    <w:rsid w:val="009A64AE"/>
    <w:rsid w:val="009B6416"/>
    <w:rsid w:val="009C04D6"/>
    <w:rsid w:val="009C2EAD"/>
    <w:rsid w:val="009C4B9E"/>
    <w:rsid w:val="009C725F"/>
    <w:rsid w:val="009D061B"/>
    <w:rsid w:val="009D220E"/>
    <w:rsid w:val="009D22F5"/>
    <w:rsid w:val="009E13CF"/>
    <w:rsid w:val="00A01290"/>
    <w:rsid w:val="00A039F4"/>
    <w:rsid w:val="00A10CE8"/>
    <w:rsid w:val="00A14AE6"/>
    <w:rsid w:val="00A42B3F"/>
    <w:rsid w:val="00A42C8E"/>
    <w:rsid w:val="00A70AB5"/>
    <w:rsid w:val="00A84F3C"/>
    <w:rsid w:val="00A868DC"/>
    <w:rsid w:val="00A9074D"/>
    <w:rsid w:val="00A91754"/>
    <w:rsid w:val="00A9268D"/>
    <w:rsid w:val="00A94614"/>
    <w:rsid w:val="00AA0D1C"/>
    <w:rsid w:val="00AA3CFB"/>
    <w:rsid w:val="00AB4A32"/>
    <w:rsid w:val="00AB67D2"/>
    <w:rsid w:val="00AC2AB2"/>
    <w:rsid w:val="00AC52E8"/>
    <w:rsid w:val="00AE3BEC"/>
    <w:rsid w:val="00AE3E92"/>
    <w:rsid w:val="00AE4759"/>
    <w:rsid w:val="00AF65F0"/>
    <w:rsid w:val="00B22DB8"/>
    <w:rsid w:val="00B26548"/>
    <w:rsid w:val="00B33CE0"/>
    <w:rsid w:val="00B34C44"/>
    <w:rsid w:val="00B369C0"/>
    <w:rsid w:val="00B55B7C"/>
    <w:rsid w:val="00B727BA"/>
    <w:rsid w:val="00B74451"/>
    <w:rsid w:val="00B75138"/>
    <w:rsid w:val="00B76EC4"/>
    <w:rsid w:val="00B8709C"/>
    <w:rsid w:val="00B918B1"/>
    <w:rsid w:val="00B91E47"/>
    <w:rsid w:val="00B9217D"/>
    <w:rsid w:val="00BA09A7"/>
    <w:rsid w:val="00BA7E08"/>
    <w:rsid w:val="00BB1983"/>
    <w:rsid w:val="00BC617B"/>
    <w:rsid w:val="00BE0C8C"/>
    <w:rsid w:val="00BE6478"/>
    <w:rsid w:val="00C05D92"/>
    <w:rsid w:val="00C1306E"/>
    <w:rsid w:val="00C266DB"/>
    <w:rsid w:val="00C41618"/>
    <w:rsid w:val="00C44B03"/>
    <w:rsid w:val="00C5559A"/>
    <w:rsid w:val="00C6663D"/>
    <w:rsid w:val="00C72D6F"/>
    <w:rsid w:val="00C73743"/>
    <w:rsid w:val="00C847A1"/>
    <w:rsid w:val="00CA3B5D"/>
    <w:rsid w:val="00CB1AF7"/>
    <w:rsid w:val="00CC1849"/>
    <w:rsid w:val="00CE54FD"/>
    <w:rsid w:val="00CF6387"/>
    <w:rsid w:val="00D2045A"/>
    <w:rsid w:val="00D251F2"/>
    <w:rsid w:val="00D34C12"/>
    <w:rsid w:val="00D63A60"/>
    <w:rsid w:val="00D918DA"/>
    <w:rsid w:val="00D92FED"/>
    <w:rsid w:val="00DA05F6"/>
    <w:rsid w:val="00DB2188"/>
    <w:rsid w:val="00DB52D9"/>
    <w:rsid w:val="00DC0DEF"/>
    <w:rsid w:val="00DE3226"/>
    <w:rsid w:val="00DE7E33"/>
    <w:rsid w:val="00E015C1"/>
    <w:rsid w:val="00E17884"/>
    <w:rsid w:val="00E233F6"/>
    <w:rsid w:val="00E508E3"/>
    <w:rsid w:val="00E76A3E"/>
    <w:rsid w:val="00E76CB5"/>
    <w:rsid w:val="00E77CB9"/>
    <w:rsid w:val="00E867C7"/>
    <w:rsid w:val="00EE7089"/>
    <w:rsid w:val="00EF7DC5"/>
    <w:rsid w:val="00F06DD8"/>
    <w:rsid w:val="00F07CFA"/>
    <w:rsid w:val="00F3337C"/>
    <w:rsid w:val="00F36299"/>
    <w:rsid w:val="00F40C82"/>
    <w:rsid w:val="00F43CF3"/>
    <w:rsid w:val="00F45366"/>
    <w:rsid w:val="00F517FE"/>
    <w:rsid w:val="00F6224D"/>
    <w:rsid w:val="00F959FC"/>
    <w:rsid w:val="00FA70D3"/>
    <w:rsid w:val="00FE1086"/>
    <w:rsid w:val="00FE774C"/>
    <w:rsid w:val="00FF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5:docId w15:val="{4A4C3E78-E309-42C3-8650-D4A37B28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tar_td="http://www.star-group.net/schemas/transit/filters/textdata" mc:Ignorable="w14 w15 w16se w16cid">
  <w:docDefaults>
    <w:rPrDefault>
      <w:rPr>
        <w:rFonts w:ascii="Arial" w:eastAsia="Times New Roman" w:hAnsi="Arial" w:cs="Times New Roman"/>
        <w:lang w:val="it-I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Text"/>
    <w:qFormat/>
    <w:rsid w:val="00D918DA"/>
    <w:pPr>
      <w:spacing w:line="320" w:lineRule="exact"/>
    </w:pPr>
  </w:style>
  <w:style w:type="paragraph" w:styleId="berschrift1">
    <w:name w:val="heading 1"/>
    <w:basedOn w:val="Standard"/>
    <w:next w:val="Standard"/>
    <w:link w:val="berschrift1Zchn"/>
    <w:uiPriority w:val="9"/>
    <w:rsid w:val="004138C6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qFormat/>
    <w:rsid w:val="00E867C7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paragraph" w:styleId="Fuzeile">
    <w:name w:val="footer"/>
    <w:basedOn w:val="Standard"/>
    <w:link w:val="FuzeileZchn"/>
    <w:qFormat/>
    <w:rsid w:val="001976BD"/>
    <w:pPr>
      <w:tabs>
        <w:tab w:val="center" w:pos="4536"/>
        <w:tab w:val="right" w:pos="9072"/>
      </w:tabs>
    </w:pPr>
    <w:rPr>
      <w:b/>
      <w:sz w:val="14"/>
    </w:rPr>
  </w:style>
  <w:style w:type="character" w:styleId="Hyperlink">
    <w:name w:val="Hyperlink"/>
    <w:rsid w:val="004138C6"/>
    <w:rPr>
      <w:rFonts w:ascii="Arial" w:hAnsi="Arial"/>
      <w:color w:val="0000FF"/>
      <w:sz w:val="2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0D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50DB0"/>
    <w:rPr>
      <w:rFonts w:ascii="Tahoma" w:hAnsi="Tahoma" w:cs="Tahoma"/>
      <w:noProof/>
      <w:sz w:val="16"/>
      <w:szCs w:val="16"/>
      <w:lang w:val="it-IT"/>
    </w:rPr>
  </w:style>
  <w:style w:type="character" w:customStyle="1" w:styleId="FuzeileZchn">
    <w:name w:val="Fußzeile Zchn"/>
    <w:basedOn w:val="Absatz-Standardschriftart"/>
    <w:link w:val="Fuzeile"/>
    <w:rsid w:val="001976BD"/>
    <w:rPr>
      <w:b/>
      <w:sz w:val="14"/>
    </w:rPr>
  </w:style>
  <w:style w:type="paragraph" w:styleId="KeinLeerraum">
    <w:name w:val="No Spacing"/>
    <w:uiPriority w:val="1"/>
    <w:qFormat/>
    <w:rsid w:val="00E867C7"/>
  </w:style>
  <w:style w:type="character" w:customStyle="1" w:styleId="berschrift1Zchn">
    <w:name w:val="Überschrift 1 Zchn"/>
    <w:basedOn w:val="Absatz-Standardschriftart"/>
    <w:link w:val="berschrift1"/>
    <w:uiPriority w:val="9"/>
    <w:rsid w:val="004138C6"/>
    <w:rPr>
      <w:rFonts w:ascii="Arial" w:eastAsiaTheme="majorEastAsia" w:hAnsi="Arial" w:cstheme="majorBidi"/>
      <w:b/>
      <w:bCs/>
      <w:noProof/>
      <w:sz w:val="28"/>
      <w:szCs w:val="28"/>
      <w:lang w:val="it-IT"/>
    </w:rPr>
  </w:style>
  <w:style w:type="paragraph" w:styleId="Titel">
    <w:name w:val="Title"/>
    <w:basedOn w:val="Standard"/>
    <w:next w:val="Standard"/>
    <w:link w:val="TitelZchn"/>
    <w:uiPriority w:val="10"/>
    <w:qFormat/>
    <w:rsid w:val="001976BD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976BD"/>
    <w:rPr>
      <w:rFonts w:eastAsiaTheme="majorEastAsia" w:cstheme="majorBidi"/>
      <w:b/>
      <w:spacing w:val="5"/>
      <w:kern w:val="2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67C7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67C7"/>
    <w:rPr>
      <w:rFonts w:eastAsiaTheme="majorEastAsia" w:cstheme="majorBidi"/>
      <w:b/>
      <w:iCs/>
      <w:spacing w:val="15"/>
      <w:szCs w:val="24"/>
    </w:rPr>
  </w:style>
  <w:style w:type="paragraph" w:customStyle="1" w:styleId="Webseite">
    <w:name w:val="Webseite"/>
    <w:basedOn w:val="Kopfzeile"/>
    <w:qFormat/>
    <w:rsid w:val="001976BD"/>
    <w:rPr>
      <w:b/>
      <w:color w:val="D80000"/>
      <w:sz w:val="14"/>
    </w:rPr>
  </w:style>
  <w:style w:type="table" w:styleId="Tabellenraster">
    <w:name w:val="Table Grid"/>
    <w:basedOn w:val="NormaleTabelle"/>
    <w:uiPriority w:val="59"/>
    <w:rsid w:val="00887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">
    <w:name w:val="Nummerierung"/>
    <w:basedOn w:val="Standard"/>
    <w:qFormat/>
    <w:rsid w:val="002A204C"/>
    <w:pPr>
      <w:numPr>
        <w:numId w:val="2"/>
      </w:numPr>
    </w:pPr>
  </w:style>
  <w:style w:type="paragraph" w:customStyle="1" w:styleId="Aufzhlung">
    <w:name w:val="Aufzählung"/>
    <w:basedOn w:val="Standard"/>
    <w:qFormat/>
    <w:rsid w:val="002A204C"/>
    <w:pPr>
      <w:numPr>
        <w:numId w:val="3"/>
      </w:numPr>
    </w:pPr>
  </w:style>
  <w:style w:type="paragraph" w:customStyle="1" w:styleId="Hinweis">
    <w:name w:val="Hinweis"/>
    <w:basedOn w:val="Standard"/>
    <w:qFormat/>
    <w:rsid w:val="009A501D"/>
    <w:pPr>
      <w:pBdr>
        <w:top w:val="single" w:sz="18" w:space="1" w:color="C00000"/>
        <w:left w:val="single" w:sz="18" w:space="4" w:color="C00000"/>
        <w:bottom w:val="single" w:sz="18" w:space="1" w:color="C00000"/>
        <w:right w:val="single" w:sz="18" w:space="4" w:color="C00000"/>
      </w:pBdr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rsid w:val="00BA7E08"/>
    <w:rPr>
      <w:sz w:val="18"/>
    </w:rPr>
  </w:style>
  <w:style w:type="paragraph" w:styleId="Aufzhlungszeichen">
    <w:name w:val="List Bullet"/>
    <w:basedOn w:val="Standard"/>
    <w:uiPriority w:val="99"/>
    <w:unhideWhenUsed/>
    <w:rsid w:val="00740880"/>
    <w:pPr>
      <w:numPr>
        <w:numId w:val="4"/>
      </w:numPr>
      <w:contextualSpacing/>
    </w:pPr>
  </w:style>
  <w:style w:type="character" w:customStyle="1" w:styleId="HeadlineFliesstextZchn">
    <w:name w:val="Headline Fliesstext Zchn"/>
    <w:basedOn w:val="Absatz-Standardschriftart"/>
    <w:link w:val="HeadlineFliesstext"/>
    <w:locked/>
    <w:rsid w:val="00AE3E92"/>
    <w:rPr>
      <w:rFonts w:ascii="Arial Black" w:hAnsi="Arial Black"/>
      <w:color w:val="C00000"/>
    </w:rPr>
  </w:style>
  <w:style w:type="paragraph" w:customStyle="1" w:styleId="HeadlineFliesstext">
    <w:name w:val="Headline Fliesstext"/>
    <w:basedOn w:val="Standard"/>
    <w:link w:val="HeadlineFliesstextZchn"/>
    <w:rsid w:val="00AE3E92"/>
    <w:pPr>
      <w:autoSpaceDE w:val="0"/>
      <w:autoSpaceDN w:val="0"/>
      <w:spacing w:after="300" w:line="360" w:lineRule="auto"/>
    </w:pPr>
    <w:rPr>
      <w:rFonts w:ascii="Arial Black" w:hAnsi="Arial Black"/>
      <w:color w:val="C00000"/>
    </w:rPr>
  </w:style>
  <w:style w:type="paragraph" w:styleId="Listenabsatz">
    <w:name w:val="List Paragraph"/>
    <w:basedOn w:val="Standard"/>
    <w:uiPriority w:val="34"/>
    <w:qFormat/>
    <w:rsid w:val="00AB67D2"/>
    <w:pPr>
      <w:spacing w:after="200" w:line="276" w:lineRule="auto"/>
      <w:ind w:left="720"/>
      <w:contextualSpacing/>
    </w:pPr>
    <w:rPr>
      <w:rFonts w:eastAsiaTheme="minorHAnsi" w:cstheme="minorBidi"/>
      <w:szCs w:val="22"/>
      <w:lang w:eastAsia="en-US"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\APA.XSL" StyleName="APA"/>
</file>

<file path=customXml/itemProps1.xml><?xml version="1.0" encoding="utf-8"?>
<ds:datastoreItem xmlns:ds="http://schemas.openxmlformats.org/officeDocument/2006/customXml" ds:itemID="{37DCEBB5-25F7-4E4A-BCB6-6C79844E8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 xmlns:star_td="http://www.star-group.net/schemas/transit/filters/textdata">
  <Template>Normal</Template>
  <TotalTime>0</TotalTime>
  <Pages>2</Pages>
  <Words>400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Gebr. Mueller Apparatebau GmbH &amp; Co.KG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 xmlns:star_td="http://www.star-group.net/schemas/transit/filters/textdata">
  <dc:creator>Ivona Jovic</dc:creator>
  <cp:lastModifiedBy>Irouschek, Margit</cp:lastModifiedBy>
  <cp:revision>17</cp:revision>
  <cp:lastPrinted>2018-06-07T06:24:00Z</cp:lastPrinted>
  <dcterms:created xsi:type="dcterms:W3CDTF">2017-07-12T08:01:00Z</dcterms:created>
  <dcterms:modified xsi:type="dcterms:W3CDTF">2018-07-30T13:33:00Z</dcterms:modified>
</cp:coreProperties>
</file>