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16se w16cid wp14">
  <w:body>
    <w:p w:rsidR="00A84F3C" w:rsidRPr="000D75A4" w:rsidRDefault="00A84F3C" w:rsidP="000D75A4">
      <w:pPr>
        <w:pStyle w:val="Untertitel"/>
        <w:spacing w:line="360" w:lineRule="auto"/>
        <w:rPr>
          <w:sz w:val="22"/>
        </w:rPr>
      </w:pPr>
    </w:p>
    <w:p w:rsidR="00A84F3C" w:rsidRPr="000D75A4" w:rsidRDefault="00A84F3C" w:rsidP="000D75A4">
      <w:pPr>
        <w:pStyle w:val="Kopfzeile"/>
        <w:tabs>
          <w:tab w:val="clear" w:pos="4536"/>
          <w:tab w:val="clear" w:pos="9072"/>
        </w:tabs>
        <w:spacing w:line="360" w:lineRule="auto"/>
        <w:rPr>
          <w:sz w:val="22"/>
        </w:rPr>
      </w:pPr>
    </w:p>
    <w:p w:rsidR="00A84F3C" w:rsidRPr="000D75A4" w:rsidRDefault="00A84F3C" w:rsidP="000D75A4">
      <w:pPr>
        <w:pStyle w:val="Kopfzeile"/>
        <w:tabs>
          <w:tab w:val="clear" w:pos="4536"/>
          <w:tab w:val="clear" w:pos="9072"/>
          <w:tab w:val="left" w:pos="8222"/>
        </w:tabs>
        <w:spacing w:line="360" w:lineRule="auto"/>
        <w:rPr>
          <w:sz w:val="22"/>
        </w:rPr>
      </w:pPr>
    </w:p>
    <w:p w:rsidR="00B75138" w:rsidRPr="000D75A4" w:rsidRDefault="00B75138" w:rsidP="000D75A4">
      <w:pPr>
        <w:pStyle w:val="Kopfzeile"/>
        <w:tabs>
          <w:tab w:val="clear" w:pos="4536"/>
          <w:tab w:val="clear" w:pos="9072"/>
          <w:tab w:val="left" w:pos="8222"/>
        </w:tabs>
        <w:spacing w:line="360" w:lineRule="auto"/>
        <w:rPr>
          <w:sz w:val="22"/>
        </w:rPr>
      </w:pPr>
    </w:p>
    <w:p w:rsidR="00522FC7" w:rsidRPr="000D75A4" w:rsidRDefault="00522FC7" w:rsidP="000D75A4">
      <w:pPr>
        <w:spacing w:line="360" w:lineRule="auto"/>
        <w:sectPr w:rsidR="00522FC7" w:rsidRPr="000D75A4" w:rsidSect="003F748A">
          <w:headerReference w:type="default" r:id="rId8"/>
          <w:footerReference w:type="default" r:id="rId9"/>
          <w:headerReference w:type="first" r:id="rId10"/>
          <w:footerReference w:type="first" r:id="rId11"/>
          <w:pgSz w:w="11906" w:h="16838" w:code="9"/>
          <w:pgMar w:top="2552" w:right="567" w:bottom="2268" w:left="1418" w:header="567" w:footer="397" w:gutter="0"/>
          <w:pgNumType w:start="1"/>
          <w:cols w:space="708"/>
          <w:titlePg/>
          <w:docGrid w:linePitch="360"/>
        </w:sectPr>
      </w:pPr>
    </w:p>
    <w:p w:rsidR="000D75A4" w:rsidRDefault="000D75A4" w:rsidP="000D75A4">
      <w:pPr>
        <w:spacing w:line="360" w:lineRule="auto"/>
        <w:rPr>
          <w:b/>
          <w:sz w:val="28"/>
          <w:szCs w:val="28"/>
        </w:rPr>
      </w:pPr>
      <w:r>
        <w:rPr>
          <w:lang w:val="nl-NL"/>
          <w:rFonts w:ascii="Arial" w:cs="Times New Roman" w:eastAsia="Times New Roman" w:hAnsi="Arial"/>
          <w:b w:val="on"/>
          <w:sz w:val="28"/>
        </w:rPr>
        <w:t xml:space="preserve">Veilige mediaverzorging dankzij antistatische installatiecomponenten</w:t>
      </w:r>
    </w:p>
    <w:p w:rsidR="000D75A4" w:rsidRPr="000D75A4" w:rsidRDefault="000D75A4" w:rsidP="000D75A4">
      <w:pPr>
        <w:spacing w:line="360" w:lineRule="auto"/>
        <w:rPr>
          <w:b/>
          <w:sz w:val="28"/>
          <w:szCs w:val="28"/>
        </w:rPr>
      </w:pPr>
    </w:p>
    <w:p w:rsidR="000D75A4" w:rsidRDefault="000D75A4" w:rsidP="000D75A4">
      <w:pPr>
        <w:spacing w:line="360" w:lineRule="auto"/>
        <w:rPr>
          <w:b/>
          <w:i/>
          <w:sz w:val="22"/>
          <w:szCs w:val="22"/>
        </w:rPr>
      </w:pPr>
      <w:proofErr w:type="spellStart"/>
      <w:proofErr w:type="spellEnd"/>
      <w:proofErr w:type="spellStart"/>
      <w:proofErr w:type="spellEnd"/>
      <w:r>
        <w:rPr>
          <w:lang w:val="nl-NL"/>
          <w:rFonts w:ascii="Arial" w:cs="Times New Roman" w:eastAsia="Times New Roman" w:hAnsi="Arial"/>
          <w:b w:val="on"/>
          <w:i w:val="on"/>
          <w:sz w:val="22"/>
        </w:rPr>
        <w:t xml:space="preserve">Elektrisch geleidende uitvoeringen van de meerweg-afsluiterblokken GEMÜ PC50 iComLine en van de slang GEMÜ TubeStar maken een veilig gebruik van installaties mogelijk, ook bij licht ontvlambare media.</w:t>
      </w:r>
    </w:p>
    <w:p w:rsidR="000D75A4" w:rsidRPr="000D75A4" w:rsidRDefault="000D75A4" w:rsidP="000D75A4">
      <w:pPr>
        <w:spacing w:line="360" w:lineRule="auto"/>
        <w:rPr>
          <w:b/>
          <w:i/>
          <w:sz w:val="22"/>
          <w:szCs w:val="22"/>
        </w:rPr>
      </w:pPr>
    </w:p>
    <w:p w:rsidR="000D75A4" w:rsidRPr="000D75A4" w:rsidRDefault="000D75A4" w:rsidP="000D75A4">
      <w:pPr>
        <w:spacing w:line="360" w:lineRule="auto"/>
        <w:rPr>
          <w:sz w:val="22"/>
          <w:szCs w:val="22"/>
        </w:rPr>
      </w:pPr>
      <w:proofErr w:type="spellStart"/>
      <w:proofErr w:type="spellEnd"/>
      <w:r>
        <w:rPr>
          <w:lang w:val="nl-NL"/>
          <w:rFonts w:ascii="Arial" w:cs="Times New Roman" w:eastAsia="Times New Roman" w:hAnsi="Arial"/>
          <w:sz w:val="22"/>
        </w:rPr>
        <w:t xml:space="preserve">Kunststoffen als afsluitermateriaal krijgen een steeds breder toepassingsspectrum in de proces- en verwerkingsindustrie. Op grond van hun goede chemische en mechanische Bestendigheid worden zij steeds vaker toegepast bij de verwerking van corrosieve media, zoals bijvoorbeeld slurry. Ook bij de verzorging van oplosmiddelen gaat de trend steeds meer naar de toepassing van hoogwaardige kunststoffen. </w:t>
      </w:r>
    </w:p>
    <w:p w:rsidR="000D75A4" w:rsidRPr="000D75A4" w:rsidRDefault="000D75A4" w:rsidP="000D75A4">
      <w:pPr>
        <w:spacing w:line="360" w:lineRule="auto"/>
        <w:rPr>
          <w:sz w:val="22"/>
          <w:szCs w:val="22"/>
        </w:rPr>
      </w:pPr>
      <w:r>
        <w:rPr>
          <w:lang w:val="nl-NL"/>
          <w:rFonts w:ascii="Arial" w:cs="Times New Roman" w:eastAsia="Times New Roman" w:hAnsi="Arial"/>
          <w:sz w:val="22"/>
        </w:rPr>
        <w:t xml:space="preserve">De behandeling van corrosieve of licht ontvlambare media zoals oplosmiddelen is riskant, doordat deze elektrostatische oplading en het ontstaan van ontvlambare dampen bevorderen. Door een ongecontroleerde en plotselinge ontlading kan de gehele installatie vlam vatten. Niet alleen de zekerheid tegen productie-uitval, maar ook de veiligheid van het bedieningspersoneel staan daarom op de voorgrond bij het gebruik van de installatie.</w:t>
      </w:r>
    </w:p>
    <w:p w:rsidR="000D75A4" w:rsidRPr="000D75A4" w:rsidRDefault="000D75A4" w:rsidP="000D75A4">
      <w:pPr>
        <w:spacing w:line="360" w:lineRule="auto"/>
        <w:rPr>
          <w:sz w:val="22"/>
          <w:szCs w:val="22"/>
        </w:rPr>
      </w:pPr>
      <w:proofErr w:type="spellStart"/>
      <w:proofErr w:type="spellEnd"/>
      <w:proofErr w:type="spellStart"/>
      <w:proofErr w:type="spellEnd"/>
      <w:r>
        <w:rPr>
          <w:lang w:val="nl-NL"/>
          <w:rFonts w:ascii="Arial" w:cs="Times New Roman" w:eastAsia="Times New Roman" w:hAnsi="Arial"/>
          <w:sz w:val="22"/>
        </w:rPr>
        <w:t xml:space="preserve">Geleidende meerweg-afsluiterblokken van de serie GEMÜ PC50 iComLine en de GEMÜ TubeStar-slangen verkleinen het risico van dergelijke ontbrandingen tot het minimum. Aan het fluorpolymeer wordt tijdens het productieproces koolstof toegevoegd om de geleidbaarheid van de componenten te bewerkstelligen en de elektrostatische opladingen gericht over deze geleidende componenten af te voeren. </w:t>
      </w:r>
    </w:p>
    <w:p w:rsidR="000D75A4" w:rsidRPr="000D75A4" w:rsidRDefault="000D75A4" w:rsidP="000D75A4">
      <w:pPr>
        <w:spacing w:line="360" w:lineRule="auto"/>
        <w:rPr>
          <w:sz w:val="22"/>
          <w:szCs w:val="22"/>
        </w:rPr>
      </w:pPr>
      <w:r>
        <w:rPr>
          <w:lang w:val="nl-NL"/>
          <w:rFonts w:ascii="Arial" w:cs="Times New Roman" w:eastAsia="Times New Roman" w:hAnsi="Arial"/>
          <w:sz w:val="22"/>
        </w:rPr>
        <w:t xml:space="preserve">De genoemde meerweg-afsluiterblokken zijn door GEMÜ zelf ontworpen en uitgevoerd volgens de wensen van de klant. Het geleidende afsluiterlichaam van PTFE biedt de mogelijkheid om diverse aansluitingssoorten met verschillende doorlaten met elkaar te combineren. Daarbij zijn optionele handmatige of pneumatische aandrijvingsvarianten alsmede sensoren te integreren. </w:t>
      </w:r>
    </w:p>
    <w:p w:rsidR="000D75A4" w:rsidRPr="000D75A4" w:rsidRDefault="000D75A4" w:rsidP="000D75A4">
      <w:pPr>
        <w:spacing w:line="360" w:lineRule="auto"/>
        <w:rPr>
          <w:sz w:val="22"/>
          <w:szCs w:val="22"/>
        </w:rPr>
      </w:pPr>
      <w:proofErr w:type="spellStart"/>
      <w:proofErr w:type="spellEnd"/>
      <w:proofErr w:type="spellStart"/>
      <w:proofErr w:type="spellEnd"/>
      <w:proofErr w:type="spellStart"/>
      <w:proofErr w:type="spellEnd"/>
      <w:r>
        <w:rPr>
          <w:lang w:val="nl-NL"/>
          <w:rFonts w:ascii="Arial" w:cs="Times New Roman" w:eastAsia="Times New Roman" w:hAnsi="Arial"/>
          <w:sz w:val="22"/>
        </w:rPr>
        <w:t xml:space="preserve">De meerweg-afsluiterblokken GEMÜ PC50 iComLine kunnen in de geleidende uitvoering bij een bedrijfsdruk van 4,2 bar veilig toegepast worden en garanderen in combinatie met de geleidende slangen GEMÜ TubeStar een optimaal afleidingsvermogen van elektrostatische ladingen. De geleidbaarheid ligt daarbij tussen 10</w:t>
      </w:r>
      <w:r>
        <w:rPr>
          <w:lang w:val="nl-NL"/>
          <w:rFonts w:ascii="Arial" w:cs="Times New Roman" w:eastAsia="Times New Roman" w:hAnsi="Arial"/>
          <w:vertAlign w:val="superscript"/>
          <w:sz w:val="22"/>
        </w:rPr>
        <w:t xml:space="preserve">5</w:t>
      </w:r>
      <w:r>
        <w:rPr>
          <w:lang w:val="nl-NL"/>
          <w:rFonts w:ascii="Arial" w:cs="Times New Roman" w:eastAsia="Times New Roman" w:hAnsi="Arial"/>
          <w:sz w:val="22"/>
        </w:rPr>
        <w:t xml:space="preserve"> en 10</w:t>
      </w:r>
      <w:r>
        <w:rPr>
          <w:lang w:val="nl-NL"/>
          <w:rFonts w:ascii="Arial" w:cs="Times New Roman" w:eastAsia="Times New Roman" w:hAnsi="Arial"/>
          <w:vertAlign w:val="superscript"/>
          <w:sz w:val="22"/>
        </w:rPr>
        <w:t xml:space="preserve">8</w:t>
      </w:r>
      <w:r>
        <w:rPr>
          <w:lang w:val="nl-NL"/>
          <w:rFonts w:ascii="Arial" w:cs="Times New Roman" w:eastAsia="Times New Roman" w:hAnsi="Arial"/>
          <w:sz w:val="22"/>
        </w:rPr>
        <w:t xml:space="preserve"> Ohm. De genoemde slangen zijn verkrijgbaar in de materialen PFA en PTFE. Op aanvraag kan de PTFE-variant ook als FDA-conforme uitvoering worden aangeboden. De uit perfluoralkoxy (PFA) bestaande slangen zijn verkrijgbaar in uitvoeringen met of zonder direct contact met de vloeistoffen. De variant met direct contact met de vloeistof is vanwege de aanwezigheid van koolstof zwart, evenals het meerweg-afsluiterblok zelf. Bij de uitvoering met niet-direct contact met de vloeistof is door middel van een speciaal procedé een geleidende strook ingebracht op alleen het oppervlak. Hierdoor is het mogelijk om het medium in de slang visueel te bewaken en wordt onder andere een hoge mate van partikelvrijheid gegarandeerd, doordat het medium alleen in contact komt met het zeer schone PFA. De antistatische slangen zijn beschikbaar in grootten van 1/4“ tot 1¼“. Andere grootten of wandsterkten zijn naar wens van de klant leverbaar.</w:t>
      </w:r>
    </w:p>
    <w:p w:rsidR="000D75A4" w:rsidRPr="000D75A4" w:rsidRDefault="000D75A4" w:rsidP="000D75A4">
      <w:pPr>
        <w:spacing w:line="360" w:lineRule="auto"/>
        <w:rPr>
          <w:sz w:val="22"/>
          <w:szCs w:val="22"/>
        </w:rPr>
      </w:pPr>
    </w:p>
    <w:p w:rsidR="000D75A4" w:rsidRPr="000D75A4" w:rsidRDefault="000D75A4" w:rsidP="000D75A4">
      <w:pPr>
        <w:spacing w:line="360" w:lineRule="auto"/>
        <w:rPr>
          <w:sz w:val="22"/>
          <w:szCs w:val="22"/>
        </w:rPr>
      </w:pPr>
      <w:r>
        <w:rPr>
          <w:lang w:val="nl-NL"/>
          <w:rFonts w:ascii="Arial" w:cs="Times New Roman" w:eastAsia="Times New Roman" w:hAnsi="Arial"/>
          <w:sz w:val="22"/>
          <w:noProof w:val="on"/>
        </w:rPr>
        <w:drawing>
          <wp:inline distT="0" distB="0" distL="0" distR="0" wp14:anchorId="68767E88" wp14:editId="24E1037F">
            <wp:extent cx="2957559" cy="103517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58793"/>
                    <a:stretch/>
                  </pic:blipFill>
                  <pic:spPr bwMode="auto">
                    <a:xfrm>
                      <a:off x="0" y="0"/>
                      <a:ext cx="2982404" cy="1043866"/>
                    </a:xfrm>
                    <a:prstGeom prst="rect">
                      <a:avLst/>
                    </a:prstGeom>
                    <a:ln>
                      <a:noFill/>
                    </a:ln>
                    <a:extLst>
                      <a:ext uri="{53640926-AAD7-44D8-BBD7-CCE9431645EC}">
                        <a14:shadowObscured xmlns:a14="http://schemas.microsoft.com/office/drawing/2010/main"/>
                      </a:ext>
                    </a:extLst>
                  </pic:spPr>
                </pic:pic>
              </a:graphicData>
            </a:graphic>
          </wp:inline>
        </w:drawing>
      </w:r>
    </w:p>
    <w:p w:rsidR="000D75A4" w:rsidRPr="000D75A4" w:rsidRDefault="000D75A4" w:rsidP="000D75A4">
      <w:pPr>
        <w:spacing w:line="360" w:lineRule="auto"/>
        <w:rPr>
          <w:sz w:val="22"/>
          <w:szCs w:val="22"/>
        </w:rPr>
      </w:pPr>
      <w:proofErr w:type="spellStart"/>
      <w:proofErr w:type="spellEnd"/>
      <w:r>
        <w:rPr>
          <w:lang w:val="nl-NL"/>
          <w:rFonts w:ascii="Arial" w:cs="Times New Roman" w:eastAsia="Times New Roman" w:hAnsi="Arial"/>
          <w:sz w:val="22"/>
        </w:rPr>
        <w:t xml:space="preserve">GEMÜ TubeStar geleidend, uitvoering met niet-direct vloeistofcontact</w:t>
      </w:r>
    </w:p>
    <w:p w:rsidR="000D75A4" w:rsidRPr="000D75A4" w:rsidRDefault="000D75A4" w:rsidP="000D75A4">
      <w:pPr>
        <w:spacing w:line="360" w:lineRule="auto"/>
        <w:rPr>
          <w:sz w:val="22"/>
          <w:szCs w:val="22"/>
        </w:rPr>
      </w:pPr>
      <w:r>
        <w:rPr>
          <w:lang w:val="nl-NL"/>
          <w:rFonts w:ascii="Arial" w:cs="Times New Roman" w:eastAsia="Times New Roman" w:hAnsi="Arial"/>
          <w:sz w:val="22"/>
          <w:noProof w:val="on"/>
        </w:rPr>
        <w:drawing>
          <wp:inline distT="0" distB="0" distL="0" distR="0" wp14:anchorId="388BDCF5" wp14:editId="68A881A3">
            <wp:extent cx="2957559" cy="888005"/>
            <wp:effectExtent l="0" t="0" r="0" b="762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50822" b="13828"/>
                    <a:stretch/>
                  </pic:blipFill>
                  <pic:spPr bwMode="auto">
                    <a:xfrm>
                      <a:off x="0" y="0"/>
                      <a:ext cx="2982404" cy="895465"/>
                    </a:xfrm>
                    <a:prstGeom prst="rect">
                      <a:avLst/>
                    </a:prstGeom>
                    <a:ln>
                      <a:noFill/>
                    </a:ln>
                    <a:extLst>
                      <a:ext uri="{53640926-AAD7-44D8-BBD7-CCE9431645EC}">
                        <a14:shadowObscured xmlns:a14="http://schemas.microsoft.com/office/drawing/2010/main"/>
                      </a:ext>
                    </a:extLst>
                  </pic:spPr>
                </pic:pic>
              </a:graphicData>
            </a:graphic>
          </wp:inline>
        </w:drawing>
      </w:r>
    </w:p>
    <w:p w:rsidR="000D75A4" w:rsidRPr="000D75A4" w:rsidRDefault="000D75A4" w:rsidP="000D75A4">
      <w:pPr>
        <w:spacing w:line="360" w:lineRule="auto"/>
        <w:rPr>
          <w:sz w:val="22"/>
          <w:szCs w:val="22"/>
        </w:rPr>
      </w:pPr>
      <w:proofErr w:type="spellStart"/>
      <w:proofErr w:type="spellEnd"/>
      <w:r>
        <w:rPr>
          <w:lang w:val="nl-NL"/>
          <w:rFonts w:ascii="Arial" w:cs="Times New Roman" w:eastAsia="Times New Roman" w:hAnsi="Arial"/>
          <w:sz w:val="22"/>
        </w:rPr>
        <w:t xml:space="preserve">GEMÜ TubeStar geleidend, uitvoering met direct vloeistofcontact</w:t>
      </w:r>
    </w:p>
    <w:p w:rsidR="000D75A4" w:rsidRPr="000D75A4" w:rsidRDefault="000D75A4" w:rsidP="000D75A4">
      <w:pPr>
        <w:spacing w:line="360" w:lineRule="auto"/>
        <w:rPr>
          <w:sz w:val="22"/>
          <w:szCs w:val="22"/>
        </w:rPr>
      </w:pPr>
      <w:r>
        <w:rPr>
          <w:lang w:val="nl-NL"/>
          <w:rFonts w:ascii="Arial" w:cs="Times New Roman" w:eastAsia="Times New Roman" w:hAnsi="Arial"/>
          <w:sz w:val="22"/>
          <w:noProof w:val="on"/>
        </w:rPr>
        <w:drawing>
          <wp:inline distT="0" distB="0" distL="0" distR="0" wp14:anchorId="238233DE" wp14:editId="550C8378">
            <wp:extent cx="2847975" cy="1466320"/>
            <wp:effectExtent l="0" t="0" r="0"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20896"/>
                    <a:stretch/>
                  </pic:blipFill>
                  <pic:spPr bwMode="auto">
                    <a:xfrm>
                      <a:off x="0" y="0"/>
                      <a:ext cx="2889402" cy="1487650"/>
                    </a:xfrm>
                    <a:prstGeom prst="rect">
                      <a:avLst/>
                    </a:prstGeom>
                    <a:ln>
                      <a:noFill/>
                    </a:ln>
                    <a:extLst>
                      <a:ext uri="{53640926-AAD7-44D8-BBD7-CCE9431645EC}">
                        <a14:shadowObscured xmlns:a14="http://schemas.microsoft.com/office/drawing/2010/main"/>
                      </a:ext>
                    </a:extLst>
                  </pic:spPr>
                </pic:pic>
              </a:graphicData>
            </a:graphic>
          </wp:inline>
        </w:drawing>
      </w:r>
    </w:p>
    <w:p w:rsidR="00E015C1" w:rsidRPr="000D75A4" w:rsidRDefault="000D75A4" w:rsidP="000D75A4">
      <w:pPr>
        <w:spacing w:line="360" w:lineRule="auto"/>
        <w:rPr>
          <w:sz w:val="22"/>
          <w:szCs w:val="22"/>
        </w:rPr>
      </w:pPr>
      <w:proofErr w:type="spellStart"/>
      <w:proofErr w:type="spellEnd"/>
      <w:r>
        <w:rPr>
          <w:lang w:val="nl-NL"/>
          <w:rFonts w:ascii="Arial" w:cs="Times New Roman" w:eastAsia="Times New Roman" w:hAnsi="Arial"/>
          <w:sz w:val="22"/>
        </w:rPr>
        <w:t xml:space="preserve">Voorbeeldconfiguratie GEMÜ PC50 iComLine, geleidende uitvoering</w:t>
      </w:r>
    </w:p>
    <w:sectPr w:rsidR="00E015C1" w:rsidRPr="000D75A4" w:rsidSect="000D75A4">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16se w16cid wp14">
  <w:endnote w:type="separator" w:id="-1">
    <w:p w:rsidR="006B447A" w:rsidRDefault="006B447A">
      <w:r>
        <w:separator/>
      </w:r>
    </w:p>
  </w:endnote>
  <w:endnote w:type="continuationSeparator" w:id="0">
    <w:p w:rsidR="006B447A" w:rsidRDefault="006B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16se w16cid wp14">
  <w:p w:rsidR="006B447A" w:rsidRDefault="006B447A" w:rsidP="005E7988">
    <w:pPr>
      <w:pStyle w:val="Fuzeile"/>
      <w:spacing w:line="240" w:lineRule="auto"/>
    </w:pPr>
    <w:r>
      <w:rPr>
        <w:lang w:val="nl-NL"/>
        <w:rFonts w:ascii="Arial" w:cs="Times New Roman" w:eastAsia="Times New Roman" w:hAnsi="Arial"/>
        <w:sz w:val="14"/>
      </w:rPr>
      <w:t xml:space="preserve">GEMÜ Gebr. Müller Apparatebau GmbH </w:t>
    </w:r>
    <w:r>
      <w:rPr>
        <w:lang w:val="nl-NL"/>
        <w:rFonts w:ascii="Arial" w:cs="Times New Roman" w:eastAsia="Times New Roman" w:hAnsi="Arial"/>
        <w:sz w:val="14"/>
      </w:rPr>
      <w:t xml:space="preserve">&amp; Co. KG • Fritz-Müller-Str. </w:t>
    </w:r>
    <w:r>
      <w:rPr>
        <w:lang w:val="nl-NL"/>
        <w:rFonts w:ascii="Arial" w:cs="Times New Roman" w:eastAsia="Times New Roman" w:hAnsi="Arial"/>
        <w:sz w:val="14"/>
      </w:rPr>
      <w:t xml:space="preserve">6-8 • D-74653 Ingelfingen</w:t>
    </w:r>
    <w:r>
      <w:rPr>
        <w:lang w:val="nl-NL"/>
        <w:rFonts w:ascii="Arial" w:cs="Times New Roman" w:eastAsia="Times New Roman" w:hAnsi="Arial"/>
        <w:sz w:val="14"/>
      </w:rPr>
      <w:tab/>
    </w:r>
    <w:r>
      <w:rPr>
        <w:lang w:val="nl-NL"/>
        <w:rFonts w:ascii="Arial" w:cs="Times New Roman" w:eastAsia="Times New Roman" w:hAnsi="Arial"/>
        <w:sz w:val="14"/>
      </w:rPr>
      <w:t xml:space="preserve">Pagina </w:t>
    </w:r>
    <w:r>
      <w:fldChar w:fldCharType="begin"/>
    </w:r>
    <w:r>
      <w:instrText>PAGE  \* Arabic  \* MERGEFORMAT</w:instrText>
    </w:r>
    <w:r>
      <w:fldChar w:fldCharType="separate"/>
    </w:r>
    <w:r w:rsidR="006724CC">
      <w:rPr>
        <w:noProof/>
      </w:rPr>
      <w:t>2</w:t>
    </w:r>
    <w:r>
      <w:fldChar w:fldCharType="end"/>
    </w:r>
    <w:r>
      <w:rPr>
        <w:lang w:val="nl-NL"/>
        <w:rFonts w:ascii="Arial" w:cs="Times New Roman" w:eastAsia="Times New Roman" w:hAnsi="Arial"/>
        <w:sz w:val="14"/>
      </w:rPr>
      <w:t xml:space="preserve"> van </w:t>
    </w:r>
    <w:fldSimple w:instr="NUMPAGES  \* Arabic  \* MERGEFORMAT">
      <w:r w:rsidR="006724CC">
        <w:rPr>
          <w:noProof/>
        </w:rPr>
        <w:t>2</w:t>
      </w:r>
    </w:fldSimple>
  </w:p>
  <w:p w:rsidR="006B447A" w:rsidRPr="00CD215A" w:rsidRDefault="006B447A" w:rsidP="005E7988">
    <w:pPr>
      <w:pStyle w:val="Webseite"/>
      <w:rPr>
        <w:color w:val="auto"/>
        <w:lang w:val="nl-NL"/>
      </w:rPr>
    </w:pPr>
    <w:r>
      <w:rPr>
        <w:lang w:val="nl-NL"/>
        <w:rFonts w:ascii="Arial" w:cs="Times New Roman" w:eastAsia="Times New Roman" w:hAnsi="Arial"/>
        <w:color w:val="auto"/>
        <w:sz w:val="14"/>
      </w:rPr>
      <w:t xml:space="preserve">Tel.: +49 (0) 7940 123-0 • Fax: +49 (0) 7940 123-192</w:t>
    </w:r>
  </w:p>
  <w:p w:rsidR="006B447A" w:rsidRPr="00CD215A" w:rsidRDefault="006B447A" w:rsidP="005E7988">
    <w:pPr>
      <w:pStyle w:val="Webseite"/>
      <w:rPr>
        <w:color w:val="FF0000"/>
        <w:lang w:val="nl-NL"/>
      </w:rPr>
    </w:pPr>
    <w:r>
      <w:rPr>
        <w:lang w:val="nl-NL"/>
        <w:rFonts w:ascii="Arial" w:cs="Times New Roman" w:eastAsia="Times New Roman" w:hAnsi="Arial"/>
        <w:color w:val="FF0000"/>
        <w:sz w:val="14"/>
      </w:rPr>
      <w:t xml:space="preserve">www.gemu-group.com</w:t>
    </w:r>
  </w:p>
  <w:p w:rsidR="006B447A" w:rsidRPr="00CD215A" w:rsidRDefault="006B447A" w:rsidP="005E7988">
    <w:pPr>
      <w:pStyle w:val="Webseite"/>
      <w:rPr>
        <w:color w:val="A6A6A6" w:themeColor="background1" w:themeShade="A6"/>
        <w:sz w:val="12"/>
        <w:szCs w:val="12"/>
        <w:lang w:val="nl-NL"/>
      </w:rPr>
    </w:pPr>
  </w:p>
  <w:p w:rsidR="006B447A" w:rsidRPr="0041214D" w:rsidRDefault="006B447A" w:rsidP="005E7988">
    <w:pPr>
      <w:pStyle w:val="Webseite"/>
      <w:rPr>
        <w:color w:val="A6A6A6" w:themeColor="background1" w:themeShade="A6"/>
        <w:sz w:val="10"/>
        <w:szCs w:val="10"/>
      </w:rPr>
    </w:pPr>
    <w:r>
      <w:rPr>
        <w:lang w:val="nl-NL"/>
        <w:rFonts w:ascii="Arial" w:cs="Times New Roman" w:eastAsia="Times New Roman" w:hAnsi="Arial"/>
        <w:color w:val="A6A6A6" w:themeColor="background1" w:themeShade="A6"/>
        <w:sz w:val="10"/>
      </w:rPr>
      <w:t xml:space="preserve">Commanditaire vennootschap: Statutaire zetel 74653 Ingelfingen, Bevoegde rechterlijke instantie Stuttgart HRA 590394; complementaire vennoot: Gebr. Müller GmbH, Statutaire zetel 74653 Ingelfingen, Bevoegde rechterlijke instantie Stuttgart HRB 590215</w:t>
    </w:r>
  </w:p>
  <w:p w:rsidR="006B447A" w:rsidRPr="0041214D" w:rsidRDefault="006B447A" w:rsidP="005E7988">
    <w:pPr>
      <w:pStyle w:val="Webseite"/>
      <w:rPr>
        <w:color w:val="A6A6A6" w:themeColor="background1" w:themeShade="A6"/>
        <w:sz w:val="10"/>
        <w:szCs w:val="10"/>
      </w:rPr>
    </w:pPr>
    <w:r>
      <w:rPr>
        <w:lang w:val="nl-NL"/>
        <w:rFonts w:ascii="Arial" w:cs="Times New Roman" w:eastAsia="Times New Roman" w:hAnsi="Arial"/>
        <w:color w:val="A6A6A6" w:themeColor="background1" w:themeShade="A6"/>
        <w:sz w:val="10"/>
      </w:rPr>
      <w:t xml:space="preserve">Management: Fritz Müller, Gert Müller, Stephan Müller</w:t>
    </w:r>
  </w:p>
  <w:p w:rsidR="006B447A" w:rsidRPr="0041214D" w:rsidRDefault="006B447A" w:rsidP="005E7988">
    <w:pPr>
      <w:pStyle w:val="Webseite"/>
      <w:rPr>
        <w:color w:val="A6A6A6" w:themeColor="background1" w:themeShade="A6"/>
        <w:sz w:val="10"/>
        <w:szCs w:val="10"/>
      </w:rPr>
    </w:pPr>
    <w:proofErr w:type="spellStart"/>
    <w:proofErr w:type="spellEnd"/>
    <w:r>
      <w:rPr>
        <w:lang w:val="nl-NL"/>
        <w:rFonts w:ascii="Arial" w:cs="Times New Roman" w:eastAsia="Times New Roman" w:hAnsi="Arial"/>
        <w:color w:val="A6A6A6" w:themeColor="background1" w:themeShade="A6"/>
        <w:sz w:val="10"/>
      </w:rPr>
      <w:t xml:space="preserve">Btw-nummer: DE 146281082 • Fiscaalnr.: 76050/04341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16se w16cid wp14">
  <w:p w:rsidR="006B447A" w:rsidRDefault="006B447A" w:rsidP="003B6A50">
    <w:pPr>
      <w:pStyle w:val="Fuzeile"/>
      <w:spacing w:line="240" w:lineRule="auto"/>
    </w:pPr>
    <w:r>
      <w:rPr>
        <w:lang w:val="nl-NL"/>
        <w:rFonts w:ascii="Arial" w:cs="Times New Roman" w:eastAsia="Times New Roman" w:hAnsi="Arial"/>
        <w:sz w:val="14"/>
      </w:rPr>
      <w:t xml:space="preserve">GEMÜ Gebr. Müller Apparatebau GmbH </w:t>
    </w:r>
    <w:r>
      <w:rPr>
        <w:lang w:val="nl-NL"/>
        <w:rFonts w:ascii="Arial" w:cs="Times New Roman" w:eastAsia="Times New Roman" w:hAnsi="Arial"/>
        <w:sz w:val="14"/>
      </w:rPr>
      <w:t xml:space="preserve">&amp; Co. KG • Fritz-Müller-Str. </w:t>
    </w:r>
    <w:r>
      <w:rPr>
        <w:lang w:val="nl-NL"/>
        <w:rFonts w:ascii="Arial" w:cs="Times New Roman" w:eastAsia="Times New Roman" w:hAnsi="Arial"/>
        <w:sz w:val="14"/>
      </w:rPr>
      <w:t xml:space="preserve">6-8 • D-74653 Ingelfingen</w:t>
    </w:r>
    <w:r>
      <w:rPr>
        <w:lang w:val="nl-NL"/>
        <w:rFonts w:ascii="Arial" w:cs="Times New Roman" w:eastAsia="Times New Roman" w:hAnsi="Arial"/>
        <w:sz w:val="14"/>
      </w:rPr>
      <w:tab/>
    </w:r>
    <w:r>
      <w:rPr>
        <w:lang w:val="nl-NL"/>
        <w:rFonts w:ascii="Arial" w:cs="Times New Roman" w:eastAsia="Times New Roman" w:hAnsi="Arial"/>
        <w:sz w:val="14"/>
      </w:rPr>
      <w:t xml:space="preserve">Pagina </w:t>
    </w:r>
    <w:r>
      <w:fldChar w:fldCharType="begin"/>
    </w:r>
    <w:r>
      <w:instrText>PAGE  \* Arabic  \* MERGEFORMAT</w:instrText>
    </w:r>
    <w:r>
      <w:fldChar w:fldCharType="separate"/>
    </w:r>
    <w:r w:rsidR="006724CC">
      <w:rPr>
        <w:noProof/>
      </w:rPr>
      <w:t>1</w:t>
    </w:r>
    <w:r>
      <w:fldChar w:fldCharType="end"/>
    </w:r>
    <w:r>
      <w:rPr>
        <w:lang w:val="nl-NL"/>
        <w:rFonts w:ascii="Arial" w:cs="Times New Roman" w:eastAsia="Times New Roman" w:hAnsi="Arial"/>
        <w:sz w:val="14"/>
      </w:rPr>
      <w:t xml:space="preserve"> van </w:t>
    </w:r>
    <w:fldSimple w:instr="NUMPAGES  \* Arabic  \* MERGEFORMAT">
      <w:r w:rsidR="006724CC">
        <w:rPr>
          <w:noProof/>
        </w:rPr>
        <w:t>2</w:t>
      </w:r>
    </w:fldSimple>
  </w:p>
  <w:p w:rsidR="006B447A" w:rsidRPr="00CD215A" w:rsidRDefault="006B447A" w:rsidP="003B6A50">
    <w:pPr>
      <w:pStyle w:val="Webseite"/>
      <w:rPr>
        <w:color w:val="auto"/>
        <w:lang w:val="nl-NL"/>
      </w:rPr>
    </w:pPr>
    <w:r>
      <w:rPr>
        <w:lang w:val="nl-NL"/>
        <w:rFonts w:ascii="Arial" w:cs="Times New Roman" w:eastAsia="Times New Roman" w:hAnsi="Arial"/>
        <w:color w:val="auto"/>
        <w:sz w:val="14"/>
      </w:rPr>
      <w:t xml:space="preserve">Tel.: +49 (0) 7940 123-0 • Fax: +49 (0) 7940 123-192</w:t>
    </w:r>
  </w:p>
  <w:p w:rsidR="006B447A" w:rsidRPr="00CD215A" w:rsidRDefault="006B447A" w:rsidP="003B6A50">
    <w:pPr>
      <w:pStyle w:val="Webseite"/>
      <w:rPr>
        <w:color w:val="FF0000"/>
        <w:lang w:val="nl-NL"/>
      </w:rPr>
    </w:pPr>
    <w:r>
      <w:rPr>
        <w:lang w:val="nl-NL"/>
        <w:rFonts w:ascii="Arial" w:cs="Times New Roman" w:eastAsia="Times New Roman" w:hAnsi="Arial"/>
        <w:color w:val="FF0000"/>
        <w:sz w:val="14"/>
      </w:rPr>
      <w:t xml:space="preserve">www.gemu-group.com</w:t>
    </w:r>
  </w:p>
  <w:p w:rsidR="006B447A" w:rsidRPr="00CD215A" w:rsidRDefault="006B447A" w:rsidP="003B6A50">
    <w:pPr>
      <w:pStyle w:val="Webseite"/>
      <w:rPr>
        <w:color w:val="A6A6A6" w:themeColor="background1" w:themeShade="A6"/>
        <w:sz w:val="12"/>
        <w:szCs w:val="12"/>
        <w:lang w:val="nl-NL"/>
      </w:rPr>
    </w:pPr>
  </w:p>
  <w:p w:rsidR="006B447A" w:rsidRPr="0041214D" w:rsidRDefault="006B447A" w:rsidP="003B6A50">
    <w:pPr>
      <w:pStyle w:val="Webseite"/>
      <w:rPr>
        <w:color w:val="A6A6A6" w:themeColor="background1" w:themeShade="A6"/>
        <w:sz w:val="10"/>
        <w:szCs w:val="10"/>
      </w:rPr>
    </w:pPr>
    <w:r>
      <w:rPr>
        <w:lang w:val="nl-NL"/>
        <w:rFonts w:ascii="Arial" w:cs="Times New Roman" w:eastAsia="Times New Roman" w:hAnsi="Arial"/>
        <w:color w:val="A6A6A6" w:themeColor="background1" w:themeShade="A6"/>
        <w:sz w:val="10"/>
      </w:rPr>
      <w:t xml:space="preserve">Commanditaire vennootschap: Statutaire zetel 74653 Ingelfingen, Bevoegde rechterlijke instantie Stuttgart HRA 590394; complementaire vennoot: Gebr. Müller GmbH, Statutaire zetel 74653 Ingelfingen, Bevoegde rechterlijke instantie Stuttgart HRB 590215</w:t>
    </w:r>
  </w:p>
  <w:p w:rsidR="006B447A" w:rsidRPr="0041214D" w:rsidRDefault="006B447A" w:rsidP="003B6A50">
    <w:pPr>
      <w:pStyle w:val="Webseite"/>
      <w:rPr>
        <w:color w:val="A6A6A6" w:themeColor="background1" w:themeShade="A6"/>
        <w:sz w:val="10"/>
        <w:szCs w:val="10"/>
      </w:rPr>
    </w:pPr>
    <w:r>
      <w:rPr>
        <w:lang w:val="nl-NL"/>
        <w:rFonts w:ascii="Arial" w:cs="Times New Roman" w:eastAsia="Times New Roman" w:hAnsi="Arial"/>
        <w:color w:val="A6A6A6" w:themeColor="background1" w:themeShade="A6"/>
        <w:sz w:val="10"/>
      </w:rPr>
      <w:t xml:space="preserve">Management: Fritz Müller, Gert Müller, Stephan Müller</w:t>
    </w:r>
  </w:p>
  <w:p w:rsidR="006B447A" w:rsidRPr="0041214D" w:rsidRDefault="006B447A" w:rsidP="003B6A50">
    <w:pPr>
      <w:pStyle w:val="Webseite"/>
      <w:rPr>
        <w:color w:val="A6A6A6" w:themeColor="background1" w:themeShade="A6"/>
        <w:sz w:val="10"/>
        <w:szCs w:val="10"/>
      </w:rPr>
    </w:pPr>
    <w:proofErr w:type="spellStart"/>
    <w:proofErr w:type="spellEnd"/>
    <w:r>
      <w:rPr>
        <w:lang w:val="nl-NL"/>
        <w:rFonts w:ascii="Arial" w:cs="Times New Roman" w:eastAsia="Times New Roman" w:hAnsi="Arial"/>
        <w:color w:val="A6A6A6" w:themeColor="background1" w:themeShade="A6"/>
        <w:sz w:val="10"/>
      </w:rPr>
      <w:t xml:space="preserve">Btw-nummer: DE 146281082 • Fiscaalnr.: 76050/04341</w:t>
    </w:r>
  </w:p>
  <w:p w:rsidR="006B447A" w:rsidRDefault="006B44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16se w16cid wp14">
  <w:footnote w:type="separator" w:id="-1">
    <w:p w:rsidR="006B447A" w:rsidRDefault="006B447A">
      <w:r>
        <w:separator/>
      </w:r>
    </w:p>
  </w:footnote>
  <w:footnote w:type="continuationSeparator" w:id="0">
    <w:p w:rsidR="006B447A" w:rsidRDefault="006B4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16se w16cid wp14">
  <w:p w:rsidR="006724CC" w:rsidRDefault="006724CC" w:rsidP="008F1259">
    <w:pPr>
      <w:pStyle w:val="Kopfzeile"/>
      <w:tabs>
        <w:tab w:val="clear" w:pos="9072"/>
      </w:tabs>
      <w:ind w:right="-186"/>
      <w:jc w:val="right"/>
    </w:pPr>
    <w:r>
      <w:rPr>
        <w:lang w:val="nl-NL"/>
        <w:rFonts w:ascii="Arial" w:cs="Times New Roman" w:eastAsia="Times New Roman" w:hAnsi="Arial"/>
        <w:sz w:val="18"/>
        <w:noProof w:val="on"/>
      </w:rPr>
      <w:drawing>
        <wp:anchor distT="0" distB="0" distL="114300" distR="114300" simplePos="0" relativeHeight="251664896" behindDoc="0" locked="0" layoutInCell="1" allowOverlap="1" wp14:anchorId="65A9944D" wp14:editId="35AB408A">
          <wp:simplePos x="0" y="0"/>
          <wp:positionH relativeFrom="margin">
            <wp:posOffset>4494530</wp:posOffset>
          </wp:positionH>
          <wp:positionV relativeFrom="margin">
            <wp:posOffset>-622935</wp:posOffset>
          </wp:positionV>
          <wp:extent cx="1583690" cy="247015"/>
          <wp:effectExtent l="0" t="0" r="0" b="635"/>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83690" cy="247015"/>
                  </a:xfrm>
                  <a:prstGeom prst="rect">
                    <a:avLst/>
                  </a:prstGeom>
                </pic:spPr>
              </pic:pic>
            </a:graphicData>
          </a:graphic>
          <wp14:sizeRelH relativeFrom="margin">
            <wp14:pctWidth>0</wp14:pctWidth>
          </wp14:sizeRelH>
          <wp14:sizeRelV relativeFrom="margin">
            <wp14:pctHeight>0</wp14:pctHeight>
          </wp14:sizeRelV>
        </wp:anchor>
      </w:drawing>
    </w:r>
  </w:p>
  <w:p w:rsidR="006724CC" w:rsidRDefault="006724CC" w:rsidP="008F1259">
    <w:pPr>
      <w:pStyle w:val="Kopfzeile"/>
      <w:tabs>
        <w:tab w:val="clear" w:pos="9072"/>
      </w:tabs>
      <w:ind w:right="-186"/>
      <w:jc w:val="right"/>
    </w:pPr>
  </w:p>
  <w:p w:rsidR="006724CC" w:rsidRDefault="006724CC" w:rsidP="008F1259">
    <w:pPr>
      <w:pStyle w:val="Kopfzeile"/>
      <w:tabs>
        <w:tab w:val="clear" w:pos="9072"/>
      </w:tabs>
      <w:ind w:right="-186"/>
      <w:jc w:val="right"/>
    </w:pPr>
  </w:p>
  <w:p w:rsidR="006B447A" w:rsidRDefault="006B447A" w:rsidP="008F1259">
    <w:pPr>
      <w:pStyle w:val="Kopfzeile"/>
      <w:tabs>
        <w:tab w:val="clear" w:pos="9072"/>
      </w:tabs>
      <w:ind w:right="-186"/>
      <w:jc w:val="right"/>
    </w:pPr>
  </w:p>
  <w:p w:rsidR="006B447A" w:rsidRPr="00BC617B" w:rsidRDefault="006B447A" w:rsidP="00D251F2">
    <w:pPr>
      <w:pStyle w:val="Kopfzeile"/>
      <w:tabs>
        <w:tab w:val="clear" w:pos="9072"/>
      </w:tabs>
      <w:ind w:right="-3288"/>
      <w:rPr>
        <w:b/>
      </w:rPr>
    </w:pPr>
    <w:r>
      <w:rPr>
        <w:lang w:val="nl-NL"/>
        <w:rFonts w:ascii="Arial" w:cs="Times New Roman" w:eastAsia="Times New Roman" w:hAnsi="Arial"/>
        <w:b w:val="on"/>
        <w:sz w:val="18"/>
      </w:rPr>
      <w:tab/>
    </w:r>
    <w:r>
      <w:rPr>
        <w:lang w:val="nl-NL"/>
        <w:rFonts w:ascii="Arial" w:cs="Times New Roman" w:eastAsia="Times New Roman" w:hAnsi="Arial"/>
        <w:b w:val="on"/>
        <w:sz w:val="18"/>
      </w:rPr>
      <w:tab/>
    </w:r>
    <w:r>
      <w:rPr>
        <w:lang w:val="nl-NL"/>
        <w:rFonts w:ascii="Arial" w:cs="Times New Roman" w:eastAsia="Times New Roman" w:hAnsi="Arial"/>
        <w:b w:val="on"/>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16se w16cid wp14">
  <w:p w:rsidR="006B447A" w:rsidRDefault="00CD215A" w:rsidP="00BA7E08">
    <w:pPr>
      <w:pStyle w:val="Kopfzeile"/>
      <w:tabs>
        <w:tab w:val="clear" w:pos="9072"/>
        <w:tab w:val="right" w:pos="7088"/>
      </w:tabs>
    </w:pPr>
    <w:r>
      <w:rPr>
        <w:lang w:val="nl-NL"/>
        <w:rFonts w:ascii="Arial" w:cs="Times New Roman" w:eastAsia="Times New Roman" w:hAnsi="Arial"/>
        <w:sz w:val="18"/>
        <w:noProof w:val="on"/>
      </w:rPr>
      <w:drawing>
        <wp:anchor distT="0" distB="0" distL="114300" distR="114300" simplePos="0" relativeHeight="251662848" behindDoc="0" locked="0" layoutInCell="1" allowOverlap="1" wp14:anchorId="0CC7914B">
          <wp:simplePos x="0" y="0"/>
          <wp:positionH relativeFrom="margin">
            <wp:posOffset>4490085</wp:posOffset>
          </wp:positionH>
          <wp:positionV relativeFrom="margin">
            <wp:posOffset>-977014</wp:posOffset>
          </wp:positionV>
          <wp:extent cx="1583690" cy="247015"/>
          <wp:effectExtent l="0" t="0" r="0" b="635"/>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83690" cy="247015"/>
                  </a:xfrm>
                  <a:prstGeom prst="rect">
                    <a:avLst/>
                  </a:prstGeom>
                </pic:spPr>
              </pic:pic>
            </a:graphicData>
          </a:graphic>
          <wp14:sizeRelH relativeFrom="margin">
            <wp14:pctWidth>0</wp14:pctWidth>
          </wp14:sizeRelH>
          <wp14:sizeRelV relativeFrom="margin">
            <wp14:pctHeight>0</wp14:pctHeight>
          </wp14:sizeRelV>
        </wp:anchor>
      </w:drawing>
    </w:r>
    <w:r>
      <w:rPr>
        <w:lang w:val="nl-NL"/>
        <w:rFonts w:ascii="Arial" w:cs="Times New Roman" w:eastAsia="Times New Roman" w:hAnsi="Arial"/>
        <w:sz w:val="18"/>
        <w:noProof w:val="on"/>
      </w:rPr>
      <w:drawing>
        <wp:anchor distT="0" distB="0" distL="114300" distR="114300" simplePos="0" relativeHeight="251658752" behindDoc="0" locked="0" layoutInCell="1" allowOverlap="1" wp14:anchorId="5F2FEA8B" wp14:editId="4C45B342">
          <wp:simplePos x="0" y="0"/>
          <wp:positionH relativeFrom="column">
            <wp:posOffset>4394835</wp:posOffset>
          </wp:positionH>
          <wp:positionV relativeFrom="paragraph">
            <wp:posOffset>720725</wp:posOffset>
          </wp:positionV>
          <wp:extent cx="2051050" cy="767715"/>
          <wp:effectExtent l="0" t="0" r="635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767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447A" w:rsidRPr="0023585A" w:rsidRDefault="006B447A" w:rsidP="003B6A50">
                      <w:pPr>
                        <w:pStyle w:val="Kopfzeile"/>
                        <w:rPr>
                          <w:lang w:val="nl-NL"/>
                        </w:rPr>
                      </w:pPr>
                      <w:r>
                        <w:rPr>
                          <w:lang w:val="nl-NL"/>
                          <w:rFonts w:ascii="Arial" w:cs="Times New Roman" w:eastAsia="Times New Roman" w:hAnsi="Arial"/>
                          <w:sz w:val="18"/>
                        </w:rPr>
                        <w:t xml:space="preserve">Corporate Communication</w:t>
                      </w:r>
                    </w:p>
                    <w:p w:rsidR="006B447A" w:rsidRPr="0023585A" w:rsidRDefault="006B447A" w:rsidP="003B6A50">
                      <w:pPr>
                        <w:pStyle w:val="Kopfzeile"/>
                        <w:rPr>
                          <w:lang w:val="nl-NL"/>
                        </w:rPr>
                      </w:pPr>
                      <w:r>
                        <w:rPr>
                          <w:lang w:val="nl-NL"/>
                          <w:rFonts w:ascii="Arial" w:cs="Times New Roman" w:eastAsia="Times New Roman" w:hAnsi="Arial"/>
                          <w:sz w:val="18"/>
                        </w:rPr>
                        <w:t xml:space="preserve">Ivona Jovic</w:t>
                      </w:r>
                    </w:p>
                    <w:p w:rsidR="006B447A" w:rsidRPr="004A5F7D" w:rsidRDefault="006B447A" w:rsidP="003B6A50">
                      <w:pPr>
                        <w:pStyle w:val="Kopfzeile"/>
                        <w:rPr>
                          <w:lang w:val="nl-NL"/>
                        </w:rPr>
                      </w:pPr>
                      <w:r>
                        <w:rPr>
                          <w:lang w:val="nl-NL"/>
                          <w:rFonts w:ascii="Arial" w:cs="Times New Roman" w:eastAsia="Times New Roman" w:hAnsi="Arial"/>
                          <w:sz w:val="18"/>
                        </w:rPr>
                        <w:t xml:space="preserve">Tel.: +49 (0) 7940 123-708</w:t>
                      </w:r>
                    </w:p>
                    <w:p w:rsidR="006B447A" w:rsidRPr="00CB1AF7" w:rsidRDefault="006B447A" w:rsidP="003B6A50">
                      <w:pPr>
                        <w:pStyle w:val="Kopfzeile"/>
                      </w:pPr>
                      <w:r>
                        <w:rPr>
                          <w:lang w:val="nl-NL"/>
                          <w:rFonts w:ascii="Arial" w:cs="Times New Roman" w:eastAsia="Times New Roman" w:hAnsi="Arial"/>
                          <w:sz w:val="18"/>
                        </w:rPr>
                        <w:t xml:space="preserve">Fax: +49 (0) 7940 123-487</w:t>
                      </w:r>
                    </w:p>
                    <w:p w:rsidR="006B447A" w:rsidRPr="00D34C12" w:rsidRDefault="006B447A" w:rsidP="00CD215A">
                      <w:pPr>
                        <w:pStyle w:val="Kopfzeile"/>
                        <w:tabs>
                          <w:tab w:val="left" w:pos="2552"/>
                          <w:tab w:val="left" w:pos="2694"/>
                        </w:tabs>
                      </w:pPr>
                      <w:r>
                        <w:rPr>
                          <w:lang w:val="nl-NL"/>
                          <w:rFonts w:ascii="Arial" w:cs="Times New Roman" w:eastAsia="Times New Roman" w:hAnsi="Arial"/>
                          <w:sz w:val="18"/>
                        </w:rPr>
                        <w:t xml:space="preserve">E-mail: ivona.jovic@gemue.de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w:r>
    <w:r>
      <w:rPr>
        <w:lang w:val="nl-NL"/>
        <w:rFonts w:ascii="Arial" w:cs="Times New Roman" w:eastAsia="Times New Roman" w:hAnsi="Arial"/>
        <w:sz w:val="18"/>
        <w:noProof w:val="on"/>
      </w:rPr>
      <w:drawing>
        <wp:anchor distT="0" distB="0" distL="114300" distR="114300" simplePos="0" relativeHeight="251660800" behindDoc="0" locked="1" layoutInCell="1" allowOverlap="0" wp14:anchorId="28FABFDF" wp14:editId="369FA022">
          <wp:simplePos x="0" y="0"/>
          <wp:positionH relativeFrom="page">
            <wp:posOffset>894080</wp:posOffset>
          </wp:positionH>
          <wp:positionV relativeFrom="page">
            <wp:posOffset>1993265</wp:posOffset>
          </wp:positionV>
          <wp:extent cx="3060065" cy="292735"/>
          <wp:effectExtent l="0" t="0" r="698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47A" w:rsidRPr="00027DB4" w:rsidRDefault="006B447A" w:rsidP="00027DB4">
                      <w:pPr>
                        <w:pStyle w:val="Titel"/>
                        <w:rPr>
                          <w:b w:val="0"/>
                          <w:sz w:val="24"/>
                          <w:szCs w:val="24"/>
                        </w:rPr>
                      </w:pPr>
                      <w:r>
                        <w:rPr>
                          <w:lang w:val="nl-NL"/>
                          <w:rFonts w:ascii="Arial" w:cs="majorBidi" w:eastAsia="majorEastAsia" w:hAnsi="Arial" w:cstheme="majorBidi" w:eastAsiaTheme="majorEastAsia"/>
                          <w:b w:val="off"/>
                          <w:sz w:val="24"/>
                          <w:kern w:val="28"/>
                          <w:spacing w:val="5"/>
                        </w:rPr>
                        <w:t xml:space="preserve">PERSBERICHT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w:r>
    <w:r>
      <w:rPr>
        <w:lang w:val="nl-NL"/>
        <w:rFonts w:ascii="Arial" w:cs="Times New Roman" w:eastAsia="Times New Roman" w:hAnsi="Arial"/>
        <w:sz w:val="18"/>
      </w:rPr>
      <w:tab/>
    </w:r>
    <w:r>
      <w:rPr>
        <w:lang w:val="nl-NL"/>
        <w:rFonts w:ascii="Arial" w:cs="Times New Roman" w:eastAsia="Times New Roman" w:hAnsi="Arial"/>
        <w:sz w:val="18"/>
      </w:rPr>
      <w:tab/>
    </w:r>
    <w:r>
      <w:rPr>
        <w:lang w:val="nl-NL"/>
        <w:rFonts w:ascii="Arial" w:cs="Times New Roman" w:eastAsia="Times New Roman" w:hAnsi="Arial"/>
        <w:sz w:val="18"/>
      </w:rPr>
      <w:tab/>
    </w:r>
    <w:r>
      <w:rPr>
        <w:lang w:val="nl-NL"/>
        <w:rFonts w:ascii="Arial" w:cs="Times New Roman" w:eastAsia="Times New Roman" w:hAnsi="Arial"/>
        <w:sz w:val="18"/>
      </w:rPr>
      <w:tab/>
    </w:r>
    <w:r>
      <w:rPr>
        <w:lang w:val="nl-NL"/>
        <w:rFonts w:ascii="Arial" w:cs="Times New Roman" w:eastAsia="Times New Roman" w:hAnsi="Arial"/>
        <w:sz w:val="18"/>
      </w:rPr>
      <w:tab/>
    </w:r>
    <w:r>
      <w:rPr>
        <w:lang w:val="nl-NL"/>
        <w:rFonts w:ascii="Arial" w:cs="Times New Roman" w:eastAsia="Times New Roman" w:hAnsi="Arial"/>
        <w:sz w:val="18"/>
      </w:rPr>
      <w:tab/>
    </w:r>
    <w:r>
      <w:rPr>
        <w:lang w:val="nl-NL"/>
        <w:rFonts w:ascii="Arial" w:cs="Times New Roman" w:eastAsia="Times New Roman" w:hAnsi="Arial"/>
        <w:sz w:val="18"/>
      </w:rPr>
      <w:tab/>
    </w:r>
    <w:r>
      <w:rPr>
        <w:lang w:val="nl-NL"/>
        <w:rFonts w:ascii="Arial" w:cs="Times New Roman" w:eastAsia="Times New Roman" w:hAnsi="Arial"/>
        <w:sz w:val="18"/>
      </w:rPr>
      <w:tab/>
    </w:r>
    <w:r>
      <w:rPr>
        <w:lang w:val="nl-NL"/>
        <w:rFonts w:ascii="Arial" w:cs="Times New Roman" w:eastAsia="Times New Roman" w:hAnsi="Arial"/>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A34175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83B1C1A"/>
    <w:multiLevelType w:val="hybridMultilevel"/>
    <w:tmpl w:val="EE9EE15E"/>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534"/>
        </w:tabs>
        <w:ind w:left="1534" w:hanging="454"/>
      </w:pPr>
      <w:rPr>
        <w:rFonts w:ascii="Symbol" w:hAnsi="Symbol" w:hint="default"/>
        <w:color w:val="FF000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AD84B55"/>
    <w:multiLevelType w:val="hybridMultilevel"/>
    <w:tmpl w:val="CC7EA988"/>
    <w:lvl w:ilvl="0" w:tplc="5D4ED110">
      <w:start w:val="1"/>
      <w:numFmt w:val="bullet"/>
      <w:pStyle w:val="Aufzhlung"/>
      <w:lvlText w:val=""/>
      <w:lvlJc w:val="left"/>
      <w:pPr>
        <w:ind w:left="720" w:hanging="360"/>
      </w:pPr>
      <w:rPr>
        <w:rFonts w:ascii="Symbol" w:hAnsi="Symbol" w:hint="default"/>
        <w:color w:val="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32639F1"/>
    <w:multiLevelType w:val="hybridMultilevel"/>
    <w:tmpl w:val="1C1A99E6"/>
    <w:lvl w:ilvl="0" w:tplc="B0B0BF14">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xmlns:star_td="http://www.star-group.net/schemas/transit/filters/textdata" mc:Ignorable="w14 w15 w16se w16cid">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mailMerge>
  <w:defaultTabStop w:val="709"/>
  <w:hyphenationZone w:val="425"/>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C0"/>
    <w:rsid w:val="000050CC"/>
    <w:rsid w:val="0000750A"/>
    <w:rsid w:val="00027DB4"/>
    <w:rsid w:val="00043833"/>
    <w:rsid w:val="000460C8"/>
    <w:rsid w:val="00050DB0"/>
    <w:rsid w:val="00054CE7"/>
    <w:rsid w:val="00092213"/>
    <w:rsid w:val="000B788E"/>
    <w:rsid w:val="000D75A4"/>
    <w:rsid w:val="000F0D01"/>
    <w:rsid w:val="0010051D"/>
    <w:rsid w:val="00103DB9"/>
    <w:rsid w:val="00114ECB"/>
    <w:rsid w:val="0012162D"/>
    <w:rsid w:val="00130D38"/>
    <w:rsid w:val="001515AC"/>
    <w:rsid w:val="00154248"/>
    <w:rsid w:val="00164461"/>
    <w:rsid w:val="001652F1"/>
    <w:rsid w:val="00165612"/>
    <w:rsid w:val="00181F6B"/>
    <w:rsid w:val="001854C6"/>
    <w:rsid w:val="001976BD"/>
    <w:rsid w:val="001A02BE"/>
    <w:rsid w:val="001A1E3F"/>
    <w:rsid w:val="001F7B46"/>
    <w:rsid w:val="0021145E"/>
    <w:rsid w:val="00213155"/>
    <w:rsid w:val="00232566"/>
    <w:rsid w:val="0023585A"/>
    <w:rsid w:val="00235AEA"/>
    <w:rsid w:val="002429B4"/>
    <w:rsid w:val="00251978"/>
    <w:rsid w:val="002644DE"/>
    <w:rsid w:val="00275CF6"/>
    <w:rsid w:val="00277815"/>
    <w:rsid w:val="00294B5A"/>
    <w:rsid w:val="002A0855"/>
    <w:rsid w:val="002A204C"/>
    <w:rsid w:val="002E338F"/>
    <w:rsid w:val="00305F51"/>
    <w:rsid w:val="0031460C"/>
    <w:rsid w:val="00316E53"/>
    <w:rsid w:val="00322CB1"/>
    <w:rsid w:val="00333604"/>
    <w:rsid w:val="00351701"/>
    <w:rsid w:val="00353F39"/>
    <w:rsid w:val="00360B23"/>
    <w:rsid w:val="00372B94"/>
    <w:rsid w:val="00375C23"/>
    <w:rsid w:val="00382444"/>
    <w:rsid w:val="00383575"/>
    <w:rsid w:val="00383CC0"/>
    <w:rsid w:val="00385C06"/>
    <w:rsid w:val="00390B46"/>
    <w:rsid w:val="00390F08"/>
    <w:rsid w:val="00394792"/>
    <w:rsid w:val="003A1E1C"/>
    <w:rsid w:val="003B6A50"/>
    <w:rsid w:val="003E0E12"/>
    <w:rsid w:val="003E5D55"/>
    <w:rsid w:val="003F040C"/>
    <w:rsid w:val="003F748A"/>
    <w:rsid w:val="00401E5B"/>
    <w:rsid w:val="0041214D"/>
    <w:rsid w:val="004138C6"/>
    <w:rsid w:val="00414180"/>
    <w:rsid w:val="004150D8"/>
    <w:rsid w:val="00416142"/>
    <w:rsid w:val="004203C7"/>
    <w:rsid w:val="004205AD"/>
    <w:rsid w:val="00430004"/>
    <w:rsid w:val="0045085D"/>
    <w:rsid w:val="004673E1"/>
    <w:rsid w:val="0049316D"/>
    <w:rsid w:val="00495F2F"/>
    <w:rsid w:val="004A01E1"/>
    <w:rsid w:val="004A474D"/>
    <w:rsid w:val="004A5F7D"/>
    <w:rsid w:val="004C52F6"/>
    <w:rsid w:val="004C6A28"/>
    <w:rsid w:val="004E0B29"/>
    <w:rsid w:val="005137A3"/>
    <w:rsid w:val="0051628F"/>
    <w:rsid w:val="00517635"/>
    <w:rsid w:val="00522FC7"/>
    <w:rsid w:val="00523FC0"/>
    <w:rsid w:val="00524529"/>
    <w:rsid w:val="00544B1E"/>
    <w:rsid w:val="00546804"/>
    <w:rsid w:val="00552C4E"/>
    <w:rsid w:val="00571FB7"/>
    <w:rsid w:val="0057388F"/>
    <w:rsid w:val="00574C6D"/>
    <w:rsid w:val="005B5508"/>
    <w:rsid w:val="005B622D"/>
    <w:rsid w:val="005D2037"/>
    <w:rsid w:val="005E571A"/>
    <w:rsid w:val="005E75E6"/>
    <w:rsid w:val="005E7988"/>
    <w:rsid w:val="005F1067"/>
    <w:rsid w:val="00637169"/>
    <w:rsid w:val="00642478"/>
    <w:rsid w:val="00650358"/>
    <w:rsid w:val="00656F6C"/>
    <w:rsid w:val="006724CC"/>
    <w:rsid w:val="00690769"/>
    <w:rsid w:val="0069167D"/>
    <w:rsid w:val="0069406E"/>
    <w:rsid w:val="00697EFD"/>
    <w:rsid w:val="006A393C"/>
    <w:rsid w:val="006B12C6"/>
    <w:rsid w:val="006B447A"/>
    <w:rsid w:val="006B4A94"/>
    <w:rsid w:val="006D4B66"/>
    <w:rsid w:val="00702357"/>
    <w:rsid w:val="0071741A"/>
    <w:rsid w:val="007213F4"/>
    <w:rsid w:val="0072338D"/>
    <w:rsid w:val="00726FEE"/>
    <w:rsid w:val="00731EB5"/>
    <w:rsid w:val="00736752"/>
    <w:rsid w:val="00740880"/>
    <w:rsid w:val="00744D08"/>
    <w:rsid w:val="00747743"/>
    <w:rsid w:val="00753936"/>
    <w:rsid w:val="00766A2D"/>
    <w:rsid w:val="00796C60"/>
    <w:rsid w:val="007A08CC"/>
    <w:rsid w:val="007A2595"/>
    <w:rsid w:val="007B2565"/>
    <w:rsid w:val="007B6EB1"/>
    <w:rsid w:val="007C5A73"/>
    <w:rsid w:val="007E392B"/>
    <w:rsid w:val="007E7946"/>
    <w:rsid w:val="007F2B68"/>
    <w:rsid w:val="007F606E"/>
    <w:rsid w:val="00817547"/>
    <w:rsid w:val="008279E1"/>
    <w:rsid w:val="00831819"/>
    <w:rsid w:val="00874B37"/>
    <w:rsid w:val="008819AD"/>
    <w:rsid w:val="0088749B"/>
    <w:rsid w:val="008A5C29"/>
    <w:rsid w:val="008C5A36"/>
    <w:rsid w:val="008D7016"/>
    <w:rsid w:val="008F1259"/>
    <w:rsid w:val="008F7DBE"/>
    <w:rsid w:val="009021DB"/>
    <w:rsid w:val="009101CE"/>
    <w:rsid w:val="00922EA4"/>
    <w:rsid w:val="009340F8"/>
    <w:rsid w:val="009369BE"/>
    <w:rsid w:val="00936DA0"/>
    <w:rsid w:val="009534F3"/>
    <w:rsid w:val="00961638"/>
    <w:rsid w:val="00963325"/>
    <w:rsid w:val="00963CD3"/>
    <w:rsid w:val="009662C2"/>
    <w:rsid w:val="009707CA"/>
    <w:rsid w:val="009879D4"/>
    <w:rsid w:val="009A501D"/>
    <w:rsid w:val="009A64AE"/>
    <w:rsid w:val="009B6416"/>
    <w:rsid w:val="009C04D6"/>
    <w:rsid w:val="009C4B9E"/>
    <w:rsid w:val="009C725F"/>
    <w:rsid w:val="009D061B"/>
    <w:rsid w:val="009D220E"/>
    <w:rsid w:val="009E13CF"/>
    <w:rsid w:val="00A01290"/>
    <w:rsid w:val="00A039F4"/>
    <w:rsid w:val="00A10CE8"/>
    <w:rsid w:val="00A14AE6"/>
    <w:rsid w:val="00A42B3F"/>
    <w:rsid w:val="00A42C8E"/>
    <w:rsid w:val="00A70AB5"/>
    <w:rsid w:val="00A84F3C"/>
    <w:rsid w:val="00A868DC"/>
    <w:rsid w:val="00A9074D"/>
    <w:rsid w:val="00A91754"/>
    <w:rsid w:val="00A9268D"/>
    <w:rsid w:val="00A94614"/>
    <w:rsid w:val="00AA0D1C"/>
    <w:rsid w:val="00AA3CFB"/>
    <w:rsid w:val="00AB4A32"/>
    <w:rsid w:val="00AC2AB2"/>
    <w:rsid w:val="00AC52E8"/>
    <w:rsid w:val="00AE3BEC"/>
    <w:rsid w:val="00AE3E92"/>
    <w:rsid w:val="00AE4759"/>
    <w:rsid w:val="00AF65F0"/>
    <w:rsid w:val="00B22DB8"/>
    <w:rsid w:val="00B26548"/>
    <w:rsid w:val="00B33CE0"/>
    <w:rsid w:val="00B34C44"/>
    <w:rsid w:val="00B369C0"/>
    <w:rsid w:val="00B46D38"/>
    <w:rsid w:val="00B55B7C"/>
    <w:rsid w:val="00B727BA"/>
    <w:rsid w:val="00B74451"/>
    <w:rsid w:val="00B75138"/>
    <w:rsid w:val="00B76EC4"/>
    <w:rsid w:val="00B8709C"/>
    <w:rsid w:val="00B918B1"/>
    <w:rsid w:val="00B91E47"/>
    <w:rsid w:val="00B9217D"/>
    <w:rsid w:val="00BA09A7"/>
    <w:rsid w:val="00BA7E08"/>
    <w:rsid w:val="00BB1983"/>
    <w:rsid w:val="00BC617B"/>
    <w:rsid w:val="00BE0C8C"/>
    <w:rsid w:val="00BE6478"/>
    <w:rsid w:val="00C1306E"/>
    <w:rsid w:val="00C266DB"/>
    <w:rsid w:val="00C41618"/>
    <w:rsid w:val="00C44B03"/>
    <w:rsid w:val="00C5559A"/>
    <w:rsid w:val="00C6663D"/>
    <w:rsid w:val="00C72D6F"/>
    <w:rsid w:val="00C73743"/>
    <w:rsid w:val="00CA3B5D"/>
    <w:rsid w:val="00CB1AF7"/>
    <w:rsid w:val="00CC1849"/>
    <w:rsid w:val="00CD215A"/>
    <w:rsid w:val="00CE54FD"/>
    <w:rsid w:val="00CF6387"/>
    <w:rsid w:val="00D2045A"/>
    <w:rsid w:val="00D251F2"/>
    <w:rsid w:val="00D34C12"/>
    <w:rsid w:val="00D63A60"/>
    <w:rsid w:val="00D918DA"/>
    <w:rsid w:val="00D92FED"/>
    <w:rsid w:val="00DA05F6"/>
    <w:rsid w:val="00DB2188"/>
    <w:rsid w:val="00DB52D9"/>
    <w:rsid w:val="00DC0DEF"/>
    <w:rsid w:val="00DE3226"/>
    <w:rsid w:val="00DE7E33"/>
    <w:rsid w:val="00E015C1"/>
    <w:rsid w:val="00E17884"/>
    <w:rsid w:val="00E233F6"/>
    <w:rsid w:val="00E508E3"/>
    <w:rsid w:val="00E76A3E"/>
    <w:rsid w:val="00E77CB9"/>
    <w:rsid w:val="00E867C7"/>
    <w:rsid w:val="00EE7089"/>
    <w:rsid w:val="00EF7DC5"/>
    <w:rsid w:val="00F06DD8"/>
    <w:rsid w:val="00F07CFA"/>
    <w:rsid w:val="00F3337C"/>
    <w:rsid w:val="00F36299"/>
    <w:rsid w:val="00F40C82"/>
    <w:rsid w:val="00F43CF3"/>
    <w:rsid w:val="00F45366"/>
    <w:rsid w:val="00F517FE"/>
    <w:rsid w:val="00F6224D"/>
    <w:rsid w:val="00F959FC"/>
    <w:rsid w:val="00FA70D3"/>
    <w:rsid w:val="00FE1086"/>
    <w:rsid w:val="00FE774C"/>
    <w:rsid w:val="00FF36E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6A3C5AC6"/>
  <w15:docId w15:val="{AC254223-EF72-41FC-B588-EE7F18CE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tar_td="http://www.star-group.net/schemas/transit/filters/textdata" mc:Ignorable="w14 w15 w16se w16cid">
  <w:docDefaults>
    <w:rPrDefault>
      <w:rPr>
        <w:rFonts w:ascii="Arial" w:eastAsia="Times New Roman" w:hAnsi="Arial" w:cs="Times New Roman"/>
        <w:lang w:val="nl-NL" w:eastAsia="de-DE"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Text"/>
    <w:qFormat/>
    <w:rsid w:val="00D918DA"/>
    <w:pPr>
      <w:spacing w:line="320" w:lineRule="exact"/>
    </w:pPr>
  </w:style>
  <w:style w:type="paragraph" w:styleId="berschrift1">
    <w:name w:val="heading 1"/>
    <w:basedOn w:val="Standard"/>
    <w:next w:val="Standard"/>
    <w:link w:val="berschrift1Zchn"/>
    <w:uiPriority w:val="9"/>
    <w:rsid w:val="004138C6"/>
    <w:pPr>
      <w:keepNext/>
      <w:keepLines/>
      <w:spacing w:before="480"/>
      <w:outlineLvl w:val="0"/>
    </w:pPr>
    <w:rPr>
      <w:rFonts w:eastAsiaTheme="majorEastAsia" w:cstheme="maj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qFormat/>
    <w:rsid w:val="00E867C7"/>
    <w:pPr>
      <w:tabs>
        <w:tab w:val="center" w:pos="4536"/>
        <w:tab w:val="right" w:pos="9072"/>
      </w:tabs>
      <w:spacing w:line="240" w:lineRule="auto"/>
    </w:pPr>
    <w:rPr>
      <w:sz w:val="18"/>
    </w:rPr>
  </w:style>
  <w:style w:type="paragraph" w:styleId="Fuzeile">
    <w:name w:val="footer"/>
    <w:basedOn w:val="Standard"/>
    <w:link w:val="FuzeileZchn"/>
    <w:qFormat/>
    <w:rsid w:val="001976BD"/>
    <w:pPr>
      <w:tabs>
        <w:tab w:val="center" w:pos="4536"/>
        <w:tab w:val="right" w:pos="9072"/>
      </w:tabs>
    </w:pPr>
    <w:rPr>
      <w:b/>
      <w:sz w:val="14"/>
    </w:rPr>
  </w:style>
  <w:style w:type="character" w:styleId="Hyperlink">
    <w:name w:val="Hyperlink"/>
    <w:rsid w:val="004138C6"/>
    <w:rPr>
      <w:rFonts w:ascii="Arial" w:hAnsi="Arial"/>
      <w:color w:val="0000FF"/>
      <w:sz w:val="20"/>
      <w:u w:val="single"/>
    </w:rPr>
  </w:style>
  <w:style w:type="paragraph" w:styleId="Sprechblasentext">
    <w:name w:val="Balloon Text"/>
    <w:basedOn w:val="Standard"/>
    <w:link w:val="SprechblasentextZchn"/>
    <w:uiPriority w:val="99"/>
    <w:semiHidden/>
    <w:unhideWhenUsed/>
    <w:rsid w:val="00050DB0"/>
    <w:rPr>
      <w:rFonts w:ascii="Tahoma" w:hAnsi="Tahoma" w:cs="Tahoma"/>
      <w:sz w:val="16"/>
      <w:szCs w:val="16"/>
    </w:rPr>
  </w:style>
  <w:style w:type="character" w:customStyle="1" w:styleId="SprechblasentextZchn">
    <w:name w:val="Sprechblasentext Zchn"/>
    <w:link w:val="Sprechblasentext"/>
    <w:uiPriority w:val="99"/>
    <w:semiHidden/>
    <w:rsid w:val="00050DB0"/>
    <w:rPr>
      <w:rFonts w:ascii="Tahoma" w:hAnsi="Tahoma" w:cs="Tahoma"/>
      <w:noProof/>
      <w:sz w:val="16"/>
      <w:szCs w:val="16"/>
      <w:lang w:val="nl-NL"/>
    </w:rPr>
  </w:style>
  <w:style w:type="character" w:customStyle="1" w:styleId="FuzeileZchn">
    <w:name w:val="Fußzeile Zchn"/>
    <w:basedOn w:val="Absatz-Standardschriftart"/>
    <w:link w:val="Fuzeile"/>
    <w:rsid w:val="001976BD"/>
    <w:rPr>
      <w:b/>
      <w:sz w:val="14"/>
    </w:rPr>
  </w:style>
  <w:style w:type="paragraph" w:styleId="KeinLeerraum">
    <w:name w:val="No Spacing"/>
    <w:uiPriority w:val="1"/>
    <w:qFormat/>
    <w:rsid w:val="00E867C7"/>
  </w:style>
  <w:style w:type="character" w:customStyle="1" w:styleId="berschrift1Zchn">
    <w:name w:val="Überschrift 1 Zchn"/>
    <w:basedOn w:val="Absatz-Standardschriftart"/>
    <w:link w:val="berschrift1"/>
    <w:uiPriority w:val="9"/>
    <w:rsid w:val="004138C6"/>
    <w:rPr>
      <w:rFonts w:ascii="Arial" w:eastAsiaTheme="majorEastAsia" w:hAnsi="Arial" w:cstheme="majorBidi"/>
      <w:b/>
      <w:bCs/>
      <w:noProof/>
      <w:sz w:val="28"/>
      <w:szCs w:val="28"/>
      <w:lang w:val="nl-NL"/>
    </w:rPr>
  </w:style>
  <w:style w:type="paragraph" w:styleId="Titel">
    <w:name w:val="Title"/>
    <w:basedOn w:val="Standard"/>
    <w:next w:val="Standard"/>
    <w:link w:val="TitelZchn"/>
    <w:uiPriority w:val="10"/>
    <w:qFormat/>
    <w:rsid w:val="001976BD"/>
    <w:pPr>
      <w:spacing w:after="300" w:line="240" w:lineRule="auto"/>
      <w:contextualSpacing/>
    </w:pPr>
    <w:rPr>
      <w:rFonts w:eastAsiaTheme="majorEastAsia" w:cstheme="majorBidi"/>
      <w:b/>
      <w:spacing w:val="5"/>
      <w:kern w:val="28"/>
      <w:szCs w:val="52"/>
    </w:rPr>
  </w:style>
  <w:style w:type="character" w:customStyle="1" w:styleId="TitelZchn">
    <w:name w:val="Titel Zchn"/>
    <w:basedOn w:val="Absatz-Standardschriftart"/>
    <w:link w:val="Titel"/>
    <w:uiPriority w:val="10"/>
    <w:rsid w:val="001976BD"/>
    <w:rPr>
      <w:rFonts w:eastAsiaTheme="majorEastAsia" w:cstheme="majorBidi"/>
      <w:b/>
      <w:spacing w:val="5"/>
      <w:kern w:val="28"/>
      <w:szCs w:val="52"/>
    </w:rPr>
  </w:style>
  <w:style w:type="paragraph" w:styleId="Untertitel">
    <w:name w:val="Subtitle"/>
    <w:basedOn w:val="Standard"/>
    <w:next w:val="Standard"/>
    <w:link w:val="UntertitelZchn"/>
    <w:uiPriority w:val="11"/>
    <w:qFormat/>
    <w:rsid w:val="00E867C7"/>
    <w:pPr>
      <w:numPr>
        <w:ilvl w:val="1"/>
      </w:numPr>
    </w:pPr>
    <w:rPr>
      <w:rFonts w:eastAsiaTheme="majorEastAsia" w:cstheme="majorBidi"/>
      <w:b/>
      <w:iCs/>
      <w:spacing w:val="15"/>
      <w:szCs w:val="24"/>
    </w:rPr>
  </w:style>
  <w:style w:type="character" w:customStyle="1" w:styleId="UntertitelZchn">
    <w:name w:val="Untertitel Zchn"/>
    <w:basedOn w:val="Absatz-Standardschriftart"/>
    <w:link w:val="Untertitel"/>
    <w:uiPriority w:val="11"/>
    <w:rsid w:val="00E867C7"/>
    <w:rPr>
      <w:rFonts w:eastAsiaTheme="majorEastAsia" w:cstheme="majorBidi"/>
      <w:b/>
      <w:iCs/>
      <w:spacing w:val="15"/>
      <w:szCs w:val="24"/>
    </w:rPr>
  </w:style>
  <w:style w:type="paragraph" w:customStyle="1" w:styleId="Webseite">
    <w:name w:val="Webseite"/>
    <w:basedOn w:val="Kopfzeile"/>
    <w:qFormat/>
    <w:rsid w:val="001976BD"/>
    <w:rPr>
      <w:b/>
      <w:color w:val="D80000"/>
      <w:sz w:val="14"/>
    </w:rPr>
  </w:style>
  <w:style w:type="table" w:styleId="Tabellenraster">
    <w:name w:val="Table Grid"/>
    <w:basedOn w:val="NormaleTabelle"/>
    <w:uiPriority w:val="59"/>
    <w:rsid w:val="0088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
    <w:name w:val="Nummerierung"/>
    <w:basedOn w:val="Standard"/>
    <w:qFormat/>
    <w:rsid w:val="002A204C"/>
    <w:pPr>
      <w:numPr>
        <w:numId w:val="2"/>
      </w:numPr>
    </w:pPr>
  </w:style>
  <w:style w:type="paragraph" w:customStyle="1" w:styleId="Aufzhlung">
    <w:name w:val="Aufzählung"/>
    <w:basedOn w:val="Standard"/>
    <w:qFormat/>
    <w:rsid w:val="002A204C"/>
    <w:pPr>
      <w:numPr>
        <w:numId w:val="3"/>
      </w:numPr>
    </w:pPr>
  </w:style>
  <w:style w:type="paragraph" w:customStyle="1" w:styleId="Hinweis">
    <w:name w:val="Hinweis"/>
    <w:basedOn w:val="Standard"/>
    <w:qFormat/>
    <w:rsid w:val="009A501D"/>
    <w:pPr>
      <w:pBdr>
        <w:top w:val="single" w:sz="18" w:space="1" w:color="C00000"/>
        <w:left w:val="single" w:sz="18" w:space="4" w:color="C00000"/>
        <w:bottom w:val="single" w:sz="18" w:space="1" w:color="C00000"/>
        <w:right w:val="single" w:sz="18" w:space="4" w:color="C00000"/>
      </w:pBdr>
    </w:pPr>
    <w:rPr>
      <w:sz w:val="16"/>
    </w:rPr>
  </w:style>
  <w:style w:type="character" w:customStyle="1" w:styleId="KopfzeileZchn">
    <w:name w:val="Kopfzeile Zchn"/>
    <w:basedOn w:val="Absatz-Standardschriftart"/>
    <w:link w:val="Kopfzeile"/>
    <w:rsid w:val="00BA7E08"/>
    <w:rPr>
      <w:sz w:val="18"/>
    </w:rPr>
  </w:style>
  <w:style w:type="paragraph" w:styleId="Aufzhlungszeichen">
    <w:name w:val="List Bullet"/>
    <w:basedOn w:val="Standard"/>
    <w:uiPriority w:val="99"/>
    <w:unhideWhenUsed/>
    <w:rsid w:val="00740880"/>
    <w:pPr>
      <w:numPr>
        <w:numId w:val="4"/>
      </w:numPr>
      <w:contextualSpacing/>
    </w:pPr>
  </w:style>
  <w:style w:type="character" w:customStyle="1" w:styleId="HeadlineFliesstextZchn">
    <w:name w:val="Headline Fliesstext Zchn"/>
    <w:basedOn w:val="Absatz-Standardschriftart"/>
    <w:link w:val="HeadlineFliesstext"/>
    <w:locked/>
    <w:rsid w:val="00AE3E92"/>
    <w:rPr>
      <w:rFonts w:ascii="Arial Black" w:hAnsi="Arial Black"/>
      <w:color w:val="C00000"/>
    </w:rPr>
  </w:style>
  <w:style w:type="paragraph" w:customStyle="1" w:styleId="HeadlineFliesstext">
    <w:name w:val="Headline Fliesstext"/>
    <w:basedOn w:val="Standard"/>
    <w:link w:val="HeadlineFliesstextZchn"/>
    <w:rsid w:val="00AE3E92"/>
    <w:pPr>
      <w:autoSpaceDE w:val="0"/>
      <w:autoSpaceDN w:val="0"/>
      <w:spacing w:after="300" w:line="360" w:lineRule="auto"/>
    </w:pPr>
    <w:rPr>
      <w:rFonts w:ascii="Arial Black" w:hAnsi="Arial Black"/>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32789">
      <w:bodyDiv w:val="1"/>
      <w:marLeft w:val="0"/>
      <w:marRight w:val="0"/>
      <w:marTop w:val="0"/>
      <w:marBottom w:val="0"/>
      <w:divBdr>
        <w:top w:val="none" w:sz="0" w:space="0" w:color="auto"/>
        <w:left w:val="none" w:sz="0" w:space="0" w:color="auto"/>
        <w:bottom w:val="none" w:sz="0" w:space="0" w:color="auto"/>
        <w:right w:val="none" w:sz="0" w:space="0" w:color="auto"/>
      </w:divBdr>
    </w:div>
    <w:div w:id="171292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3E97C93E-CFC8-48C5-9501-90CC23365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xmlns:star_td="http://www.star-group.net/schemas/transit/filters/textdata">
  <Template>Normal</Template>
  <TotalTime>0</TotalTime>
  <Pages>2</Pages>
  <Words>400</Words>
  <Characters>2855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Gebr. Mueller Apparatebau GmbH &amp; Co.KG</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xmlns:star_td="http://www.star-group.net/schemas/transit/filters/textdata">
  <dc:creator>Jovic, Ivona</dc:creator>
  <cp:lastModifiedBy>Jovic, Ivona</cp:lastModifiedBy>
  <cp:revision>8</cp:revision>
  <cp:lastPrinted>2014-04-15T08:09:00Z</cp:lastPrinted>
  <dcterms:created xsi:type="dcterms:W3CDTF">2018-05-07T11:18:00Z</dcterms:created>
  <dcterms:modified xsi:type="dcterms:W3CDTF">2018-06-07T07:13:00Z</dcterms:modified>
</cp:coreProperties>
</file>