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body>
    <w:p w:rsidR="00A84F3C" w:rsidRPr="000D75A4" w:rsidRDefault="00A84F3C" w:rsidP="000D75A4">
      <w:pPr>
        <w:pStyle w:val="Untertitel"/>
        <w:spacing w:line="360" w:lineRule="auto"/>
        <w:rPr>
          <w:sz w:val="22"/>
        </w:rPr>
      </w:pPr>
    </w:p>
    <w:p w:rsidR="00A84F3C" w:rsidRPr="000D75A4" w:rsidRDefault="00A84F3C" w:rsidP="000D75A4">
      <w:pPr>
        <w:pStyle w:val="Kopfzeile"/>
        <w:tabs>
          <w:tab w:val="clear" w:pos="4536"/>
          <w:tab w:val="clear" w:pos="9072"/>
        </w:tabs>
        <w:spacing w:line="360" w:lineRule="auto"/>
        <w:rPr>
          <w:sz w:val="22"/>
        </w:rPr>
      </w:pPr>
    </w:p>
    <w:p w:rsidR="00A84F3C" w:rsidRPr="000D75A4" w:rsidRDefault="00A84F3C" w:rsidP="000D75A4">
      <w:pPr>
        <w:pStyle w:val="Kopfzeile"/>
        <w:tabs>
          <w:tab w:val="clear" w:pos="4536"/>
          <w:tab w:val="clear" w:pos="9072"/>
          <w:tab w:val="left" w:pos="8222"/>
        </w:tabs>
        <w:spacing w:line="360" w:lineRule="auto"/>
        <w:rPr>
          <w:sz w:val="22"/>
        </w:rPr>
      </w:pPr>
    </w:p>
    <w:p w:rsidR="00B75138" w:rsidRPr="000D75A4" w:rsidRDefault="00B75138" w:rsidP="000D75A4">
      <w:pPr>
        <w:pStyle w:val="Kopfzeile"/>
        <w:tabs>
          <w:tab w:val="clear" w:pos="4536"/>
          <w:tab w:val="clear" w:pos="9072"/>
          <w:tab w:val="left" w:pos="8222"/>
        </w:tabs>
        <w:spacing w:line="360" w:lineRule="auto"/>
        <w:rPr>
          <w:sz w:val="22"/>
        </w:rPr>
      </w:pPr>
    </w:p>
    <w:p w:rsidR="00522FC7" w:rsidRPr="000D75A4" w:rsidRDefault="00522FC7" w:rsidP="000D75A4">
      <w:pPr>
        <w:spacing w:line="360" w:lineRule="auto"/>
        <w:sectPr w:rsidR="00522FC7" w:rsidRPr="000D75A4" w:rsidSect="003F748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567" w:bottom="2268" w:left="1418" w:header="567" w:footer="397" w:gutter="0"/>
          <w:pgNumType w:start="1"/>
          <w:cols w:space="708"/>
          <w:titlePg/>
          <w:docGrid w:linePitch="360"/>
        </w:sectPr>
      </w:pPr>
    </w:p>
    <w:p w:rsidR="000D75A4" w:rsidRDefault="000D75A4" w:rsidP="000D75A4">
      <w:pPr>
        <w:spacing w:line="360" w:lineRule="auto"/>
        <w:rPr>
          <w:b/>
          <w:sz w:val="28"/>
          <w:szCs w:val="28"/>
        </w:rPr>
      </w:pPr>
      <w:r>
        <w:rPr>
          <w:lang w:val="pt-BR"/>
          <w:rFonts w:ascii="Arial" w:cs="Times New Roman" w:eastAsia="Times New Roman" w:hAnsi="Arial"/>
          <w:b w:val="on"/>
          <w:sz w:val="28"/>
        </w:rPr>
        <w:t xml:space="preserve">Distribuição segura do fluido graças a componentes antiestáticos da instalação</w:t>
      </w:r>
    </w:p>
    <w:p w:rsidR="000D75A4" w:rsidRPr="000D75A4" w:rsidRDefault="000D75A4" w:rsidP="000D75A4">
      <w:pPr>
        <w:spacing w:line="360" w:lineRule="auto"/>
        <w:rPr>
          <w:b/>
          <w:sz w:val="28"/>
          <w:szCs w:val="28"/>
        </w:rPr>
      </w:pPr>
    </w:p>
    <w:p w:rsidR="000D75A4" w:rsidRDefault="000D75A4" w:rsidP="000D75A4">
      <w:pPr>
        <w:spacing w:line="360" w:lineRule="auto"/>
        <w:rPr>
          <w:b/>
          <w:i/>
          <w:sz w:val="22"/>
          <w:szCs w:val="22"/>
        </w:rPr>
      </w:pPr>
      <w:proofErr w:type="spellStart"/>
      <w:proofErr w:type="spellEnd"/>
      <w:proofErr w:type="spellStart"/>
      <w:proofErr w:type="spellEnd"/>
      <w:r>
        <w:rPr>
          <w:lang w:val="pt-BR"/>
          <w:rFonts w:ascii="Arial" w:cs="Times New Roman" w:eastAsia="Times New Roman" w:hAnsi="Arial"/>
          <w:b w:val="on"/>
          <w:i w:val="on"/>
          <w:sz w:val="22"/>
        </w:rPr>
        <w:t xml:space="preserve">As versões de condutibilidade elétrica das válvulas de bloco multivias GEMÜ PC50 iComLine e das tubulações GEMÜ TubeStar permitem a operação segura de instalações, mesmo no caso de fluidos levemente inflamáveis.</w:t>
      </w:r>
    </w:p>
    <w:p w:rsidR="000D75A4" w:rsidRPr="000D75A4" w:rsidRDefault="000D75A4" w:rsidP="000D75A4">
      <w:pPr>
        <w:spacing w:line="360" w:lineRule="auto"/>
        <w:rPr>
          <w:b/>
          <w:i/>
          <w:sz w:val="22"/>
          <w:szCs w:val="22"/>
        </w:rPr>
      </w:pP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proofErr w:type="spellStart"/>
      <w:proofErr w:type="spellEnd"/>
      <w:r>
        <w:rPr>
          <w:lang w:val="pt-BR"/>
          <w:rFonts w:ascii="Arial" w:cs="Times New Roman" w:eastAsia="Times New Roman" w:hAnsi="Arial"/>
          <w:sz w:val="22"/>
        </w:rPr>
        <w:t xml:space="preserve">Os plásticos utilizados como materiais de válvulas aumentam a gama de aplicações nas indústrias de processos e de processamentos. Devido a sua boa resistência química e mecânica, podem ser utilizadas mais frequentemente no processamento de fluidos corrosivos, como, p.ex. slurry. A tendência na distribuição de solventes também vai em direção à utilização de plásticos de alto desempenho. </w:t>
      </w: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r>
        <w:rPr>
          <w:lang w:val="pt-BR"/>
          <w:rFonts w:ascii="Arial" w:cs="Times New Roman" w:eastAsia="Times New Roman" w:hAnsi="Arial"/>
          <w:sz w:val="22"/>
        </w:rPr>
        <w:t xml:space="preserve">O tratamento de fluidos corrosivos ou levemente inflamáveis, como, solventes, é um tanto complicado, sendo que favorecem a carga eletrostática e a formação de vapores inflamáveis. Uma descarga incontrolável e repentina pode provocar um incêndio em instalações completas. A garantia contra interrupções de fornecimentos, e principalmente, a segurança dos operadores são prioritárias na operação de instalações.</w:t>
      </w: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proofErr w:type="spellStart"/>
      <w:proofErr w:type="spellEnd"/>
      <w:proofErr w:type="spellStart"/>
      <w:proofErr w:type="spellEnd"/>
      <w:r>
        <w:rPr>
          <w:lang w:val="pt-BR"/>
          <w:rFonts w:ascii="Arial" w:cs="Times New Roman" w:eastAsia="Times New Roman" w:hAnsi="Arial"/>
          <w:sz w:val="22"/>
        </w:rPr>
        <w:t xml:space="preserve">Válvulas de bloco multivias condutoras da série GEMÜ PC50 iComLine e tubulações GEMÜ TubeStar reduzem ao mínimo o risco deste tipo de incêndios. No seu processo de produção, é adicionado carbono ao fluoropolímero para assim, atingir a condutibilidade dos componentes, e para derivar a carga eletrostática através destes componentes condutores. </w:t>
      </w: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r>
        <w:rPr>
          <w:lang w:val="pt-BR"/>
          <w:rFonts w:ascii="Arial" w:cs="Times New Roman" w:eastAsia="Times New Roman" w:hAnsi="Arial"/>
          <w:sz w:val="22"/>
        </w:rPr>
        <w:t xml:space="preserve">Estas válvulas de bloco multivias são projetadas e fabricadas individualmente pela GEMÜ, conforme pedido do cliente. O corpo da válvula condutor de PTFE oferece a possibilidade de combinar vários tipos de conexão em diferentes diâmetros nominais. Além disso, poderão ser incorporados os tipos de atuador manual ou pneumático, ou ainda, um sistema de sensores. </w:t>
      </w: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proofErr w:type="spellStart"/>
      <w:proofErr w:type="spellEnd"/>
      <w:proofErr w:type="spellStart"/>
      <w:proofErr w:type="spellEnd"/>
      <w:proofErr w:type="spellStart"/>
      <w:proofErr w:type="spellEnd"/>
      <w:r>
        <w:rPr>
          <w:lang w:val="pt-BR"/>
          <w:rFonts w:ascii="Arial" w:cs="Times New Roman" w:eastAsia="Times New Roman" w:hAnsi="Arial"/>
          <w:sz w:val="22"/>
        </w:rPr>
        <w:t xml:space="preserve">Na versão de condutibilidade, as válvulas de bloco multivias GEMÜ PC50 iComLine podem ser usadas seguramente a uma pressão de operação de 4,2 bar, e em combinação com as tubulações condutoras GEMÜ TubeStar, garantem uma ótima condutância de cargas elétricas. Nisso a condutibilidade situa-se entre 10</w:t>
      </w:r>
      <w:r>
        <w:rPr>
          <w:lang w:val="pt-BR"/>
          <w:rFonts w:ascii="Arial" w:cs="Times New Roman" w:eastAsia="Times New Roman" w:hAnsi="Arial"/>
          <w:vertAlign w:val="superscript"/>
          <w:sz w:val="22"/>
        </w:rPr>
        <w:t xml:space="preserve">5</w:t>
      </w:r>
      <w:r>
        <w:rPr>
          <w:lang w:val="pt-BR"/>
          <w:rFonts w:ascii="Arial" w:cs="Times New Roman" w:eastAsia="Times New Roman" w:hAnsi="Arial"/>
          <w:sz w:val="22"/>
        </w:rPr>
        <w:t xml:space="preserve"> e 10</w:t>
      </w:r>
      <w:r>
        <w:rPr>
          <w:lang w:val="pt-BR"/>
          <w:rFonts w:ascii="Arial" w:cs="Times New Roman" w:eastAsia="Times New Roman" w:hAnsi="Arial"/>
          <w:vertAlign w:val="superscript"/>
          <w:sz w:val="22"/>
        </w:rPr>
        <w:t xml:space="preserve">8</w:t>
      </w:r>
      <w:r>
        <w:rPr>
          <w:lang w:val="pt-BR"/>
          <w:rFonts w:ascii="Arial" w:cs="Times New Roman" w:eastAsia="Times New Roman" w:hAnsi="Arial"/>
          <w:sz w:val="22"/>
        </w:rPr>
        <w:t xml:space="preserve"> Ohm. As tubulações citadas podem ser fornecidas nos materiais PFA e PTFE. Sob consulta, também podemos oferecer a versão em PTFE como versão aprovada pela FDA. As tubulações de polímero fluoretado (PFA) podem ser fornecidas tanto na versão em contato com o fluido, como, na versão sem contato com o fluido. Na versão em contato com o fluido, tal como as próprias válvulas de bloco multivias, são opacas na cor preta devido ao carbono incluído. Na versão sem contato com o fluido, é aplicada uma faixa condutora num processo especial apenas sobre a superfície.Por um lado, isto possibilita controlar visualmente o fluido no interior da tubulação, e por outro, ainda garante um alto grau de ausência de partículas, sendo que o fluido só entra em contato com o PFA de ultra pureza. As tubulações antiestáticas são disponíveis nos tamanhos 1/4“ até 1¼“. Demais tamanhos ou espessuras de parede podem ser fornecidas conforme pedido do cliente.</w:t>
      </w: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r>
        <w:rPr>
          <w:lang w:val="pt-BR"/>
          <w:rFonts w:ascii="Arial" w:cs="Times New Roman" w:eastAsia="Times New Roman" w:hAnsi="Arial"/>
          <w:sz w:val="22"/>
          <w:noProof w:val="on"/>
        </w:rPr>
        <w:drawing>
          <wp:inline distT="0" distB="0" distL="0" distR="0" wp14:anchorId="68767E88" wp14:editId="24E1037F">
            <wp:extent cx="2957559" cy="103517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58793"/>
                    <a:stretch/>
                  </pic:blipFill>
                  <pic:spPr bwMode="auto">
                    <a:xfrm>
                      <a:off x="0" y="0"/>
                      <a:ext cx="2982404" cy="1043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proofErr w:type="spellStart"/>
      <w:proofErr w:type="spellEnd"/>
      <w:r>
        <w:rPr>
          <w:lang w:val="pt-BR"/>
          <w:rFonts w:ascii="Arial" w:cs="Times New Roman" w:eastAsia="Times New Roman" w:hAnsi="Arial"/>
          <w:sz w:val="22"/>
        </w:rPr>
        <w:t xml:space="preserve">GEMÜ TubeStar condutora, versão sem contato com o fluido</w:t>
      </w: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r>
        <w:rPr>
          <w:lang w:val="pt-BR"/>
          <w:rFonts w:ascii="Arial" w:cs="Times New Roman" w:eastAsia="Times New Roman" w:hAnsi="Arial"/>
          <w:sz w:val="22"/>
          <w:noProof w:val="on"/>
        </w:rPr>
        <w:drawing>
          <wp:inline distT="0" distB="0" distL="0" distR="0" wp14:anchorId="388BDCF5" wp14:editId="68A881A3">
            <wp:extent cx="2957559" cy="888005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0822" b="13828"/>
                    <a:stretch/>
                  </pic:blipFill>
                  <pic:spPr bwMode="auto">
                    <a:xfrm>
                      <a:off x="0" y="0"/>
                      <a:ext cx="2982404" cy="89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proofErr w:type="spellStart"/>
      <w:proofErr w:type="spellEnd"/>
      <w:r>
        <w:rPr>
          <w:lang w:val="pt-BR"/>
          <w:rFonts w:ascii="Arial" w:cs="Times New Roman" w:eastAsia="Times New Roman" w:hAnsi="Arial"/>
          <w:sz w:val="22"/>
        </w:rPr>
        <w:t xml:space="preserve">GEMÜ TubeStar condutora, versão em contato com o fluido</w:t>
      </w:r>
    </w:p>
    <w:p w:rsidR="000D75A4" w:rsidRPr="000D75A4" w:rsidRDefault="000D75A4" w:rsidP="000D75A4">
      <w:pPr>
        <w:spacing w:line="360" w:lineRule="auto"/>
        <w:rPr>
          <w:sz w:val="22"/>
          <w:szCs w:val="22"/>
        </w:rPr>
      </w:pPr>
      <w:r>
        <w:rPr>
          <w:lang w:val="pt-BR"/>
          <w:rFonts w:ascii="Arial" w:cs="Times New Roman" w:eastAsia="Times New Roman" w:hAnsi="Arial"/>
          <w:sz w:val="22"/>
          <w:noProof w:val="on"/>
        </w:rPr>
        <w:drawing>
          <wp:inline distT="0" distB="0" distL="0" distR="0" wp14:anchorId="238233DE" wp14:editId="550C8378">
            <wp:extent cx="2847975" cy="1466320"/>
            <wp:effectExtent l="0" t="0" r="0" b="63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0896"/>
                    <a:stretch/>
                  </pic:blipFill>
                  <pic:spPr bwMode="auto">
                    <a:xfrm>
                      <a:off x="0" y="0"/>
                      <a:ext cx="2889402" cy="148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5C1" w:rsidRPr="000D75A4" w:rsidRDefault="000D75A4" w:rsidP="000D75A4">
      <w:pPr>
        <w:spacing w:line="360" w:lineRule="auto"/>
        <w:rPr>
          <w:sz w:val="22"/>
          <w:szCs w:val="22"/>
        </w:rPr>
      </w:pPr>
      <w:proofErr w:type="spellStart"/>
      <w:proofErr w:type="spellEnd"/>
      <w:r>
        <w:rPr>
          <w:lang w:val="pt-BR"/>
          <w:rFonts w:ascii="Arial" w:cs="Times New Roman" w:eastAsia="Times New Roman" w:hAnsi="Arial"/>
          <w:sz w:val="22"/>
        </w:rPr>
        <w:t xml:space="preserve">Configuração exemplo GEMÜ PC50 iComLine, versão condutora</w:t>
      </w:r>
    </w:p>
    <w:sectPr w:rsidR="00E015C1" w:rsidRPr="000D75A4" w:rsidSect="000D75A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endnote w:type="separator" w:id="-1">
    <w:p w:rsidR="006B447A" w:rsidRDefault="006B447A">
      <w:r>
        <w:separator/>
      </w:r>
    </w:p>
  </w:endnote>
  <w:endnote w:type="continuationSeparator" w:id="0">
    <w:p w:rsidR="006B447A" w:rsidRDefault="006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p w:rsidR="006B447A" w:rsidRDefault="006B447A" w:rsidP="005E7988">
    <w:pPr>
      <w:pStyle w:val="Fuzeile"/>
      <w:spacing w:line="240" w:lineRule="auto"/>
    </w:pPr>
    <w:r>
      <w:rPr>
        <w:lang w:val="pt-BR"/>
        <w:rFonts w:ascii="Arial" w:cs="Times New Roman" w:eastAsia="Times New Roman" w:hAnsi="Arial"/>
        <w:sz w:val="14"/>
      </w:rPr>
      <w:t xml:space="preserve">GEMÜ Gebr. Müller Apparatebau GmbH </w:t>
    </w:r>
    <w:r>
      <w:rPr>
        <w:lang w:val="pt-BR"/>
        <w:rFonts w:ascii="Arial" w:cs="Times New Roman" w:eastAsia="Times New Roman" w:hAnsi="Arial"/>
        <w:sz w:val="14"/>
      </w:rPr>
      <w:t xml:space="preserve">&amp; Co. KG • Fritz-Müller-Str. </w:t>
    </w:r>
    <w:r>
      <w:rPr>
        <w:lang w:val="pt-BR"/>
        <w:rFonts w:ascii="Arial" w:cs="Times New Roman" w:eastAsia="Times New Roman" w:hAnsi="Arial"/>
        <w:sz w:val="14"/>
      </w:rPr>
      <w:t xml:space="preserve">6-8 • D-74653 Ingelfingen</w:t>
    </w:r>
    <w:r>
      <w:rPr>
        <w:lang w:val="pt-BR"/>
        <w:rFonts w:ascii="Arial" w:cs="Times New Roman" w:eastAsia="Times New Roman" w:hAnsi="Arial"/>
        <w:sz w:val="14"/>
      </w:rPr>
      <w:tab/>
    </w:r>
    <w:r>
      <w:rPr>
        <w:lang w:val="pt-BR"/>
        <w:rFonts w:ascii="Arial" w:cs="Times New Roman" w:eastAsia="Times New Roman" w:hAnsi="Arial"/>
        <w:sz w:val="14"/>
      </w:rPr>
      <w:t xml:space="preserve">Página</w:t>
    </w:r>
    <w:r>
      <w:fldChar w:fldCharType="begin"/>
    </w:r>
    <w:r>
      <w:instrText>PAGE  \* Arabic  \* MERGEFORMAT</w:instrText>
    </w:r>
    <w:r>
      <w:fldChar w:fldCharType="separate"/>
    </w:r>
    <w:r w:rsidR="006724CC">
      <w:rPr>
        <w:noProof/>
      </w:rPr>
      <w:t>2</w:t>
    </w:r>
    <w:r>
      <w:fldChar w:fldCharType="end"/>
    </w:r>
    <w:r>
      <w:rPr>
        <w:lang w:val="pt-BR"/>
        <w:rFonts w:ascii="Arial" w:cs="Times New Roman" w:eastAsia="Times New Roman" w:hAnsi="Arial"/>
        <w:sz w:val="14"/>
      </w:rPr>
      <w:t xml:space="preserve"> de </w:t>
    </w:r>
    <w:fldSimple w:instr="NUMPAGES  \* Arabic  \* MERGEFORMAT">
      <w:r w:rsidR="006724CC">
        <w:rPr>
          <w:noProof/>
        </w:rPr>
        <w:t>2</w:t>
      </w:r>
    </w:fldSimple>
  </w:p>
  <w:p w:rsidR="006B447A" w:rsidRPr="00CD215A" w:rsidRDefault="006B447A" w:rsidP="005E7988">
    <w:pPr>
      <w:pStyle w:val="Webseite"/>
      <w:rPr>
        <w:color w:val="auto"/>
        <w:lang w:val="pt-BR"/>
      </w:rPr>
    </w:pPr>
    <w:r>
      <w:rPr>
        <w:lang w:val="pt-BR"/>
        <w:rFonts w:ascii="Arial" w:cs="Times New Roman" w:eastAsia="Times New Roman" w:hAnsi="Arial"/>
        <w:color w:val="auto"/>
        <w:sz w:val="14"/>
      </w:rPr>
      <w:t xml:space="preserve">Tel.: +49 (0) 7940 123-0 • Fax: +49 (0) 7940 123-192</w:t>
    </w:r>
  </w:p>
  <w:p w:rsidR="006B447A" w:rsidRPr="00CD215A" w:rsidRDefault="006B447A" w:rsidP="005E7988">
    <w:pPr>
      <w:pStyle w:val="Webseite"/>
      <w:rPr>
        <w:color w:val="FF0000"/>
        <w:lang w:val="pt-BR"/>
      </w:rPr>
    </w:pPr>
    <w:r>
      <w:rPr>
        <w:lang w:val="pt-BR"/>
        <w:rFonts w:ascii="Arial" w:cs="Times New Roman" w:eastAsia="Times New Roman" w:hAnsi="Arial"/>
        <w:color w:val="FF0000"/>
        <w:sz w:val="14"/>
      </w:rPr>
      <w:t xml:space="preserve">www.gemu-group.com</w:t>
    </w:r>
  </w:p>
  <w:p w:rsidR="006B447A" w:rsidRPr="00CD215A" w:rsidRDefault="006B447A" w:rsidP="005E7988">
    <w:pPr>
      <w:pStyle w:val="Webseite"/>
      <w:rPr>
        <w:color w:val="A6A6A6" w:themeColor="background1" w:themeShade="A6"/>
        <w:sz w:val="12"/>
        <w:szCs w:val="12"/>
        <w:lang w:val="pt-BR"/>
      </w:rPr>
    </w:pPr>
  </w:p>
  <w:p w:rsidR="006B447A" w:rsidRPr="0041214D" w:rsidRDefault="006B447A" w:rsidP="005E7988">
    <w:pPr>
      <w:pStyle w:val="Webseite"/>
      <w:rPr>
        <w:color w:val="A6A6A6" w:themeColor="background1" w:themeShade="A6"/>
        <w:sz w:val="10"/>
        <w:szCs w:val="10"/>
      </w:rPr>
    </w:pPr>
    <w:r>
      <w:rPr>
        <w:lang w:val="pt-BR"/>
        <w:rFonts w:ascii="Arial" w:cs="Times New Roman" w:eastAsia="Times New Roman" w:hAnsi="Arial"/>
        <w:color w:val="A6A6A6" w:themeColor="background1" w:themeShade="A6"/>
        <w:sz w:val="10"/>
      </w:rPr>
      <w:t xml:space="preserve">Sociedade limitada: Matriz 74653 Ingelfingen, Junta comercial Stuttgart HRA 590394; Sócio geral: Gebr. Müller GmbH, Matriz 74653 Ingelfingen, Junta comercial Stuttgart HRB 590215</w:t>
    </w:r>
  </w:p>
  <w:p w:rsidR="006B447A" w:rsidRPr="0041214D" w:rsidRDefault="006B447A" w:rsidP="005E7988">
    <w:pPr>
      <w:pStyle w:val="Webseite"/>
      <w:rPr>
        <w:color w:val="A6A6A6" w:themeColor="background1" w:themeShade="A6"/>
        <w:sz w:val="10"/>
        <w:szCs w:val="10"/>
      </w:rPr>
    </w:pPr>
    <w:r>
      <w:rPr>
        <w:lang w:val="pt-BR"/>
        <w:rFonts w:ascii="Arial" w:cs="Times New Roman" w:eastAsia="Times New Roman" w:hAnsi="Arial"/>
        <w:color w:val="A6A6A6" w:themeColor="background1" w:themeShade="A6"/>
        <w:sz w:val="10"/>
      </w:rPr>
      <w:t xml:space="preserve">Gerentes: Fritz Müller, Gert Müller, Stephan Müller</w:t>
    </w:r>
  </w:p>
  <w:p w:rsidR="006B447A" w:rsidRPr="0041214D" w:rsidRDefault="006B447A" w:rsidP="005E7988">
    <w:pPr>
      <w:pStyle w:val="Webseite"/>
      <w:rPr>
        <w:color w:val="A6A6A6" w:themeColor="background1" w:themeShade="A6"/>
        <w:sz w:val="10"/>
        <w:szCs w:val="10"/>
      </w:rPr>
    </w:pPr>
    <w:proofErr w:type="spellStart"/>
    <w:proofErr w:type="spellEnd"/>
    <w:r>
      <w:rPr>
        <w:lang w:val="pt-BR"/>
        <w:rFonts w:ascii="Arial" w:cs="Times New Roman" w:eastAsia="Times New Roman" w:hAnsi="Arial"/>
        <w:color w:val="A6A6A6" w:themeColor="background1" w:themeShade="A6"/>
        <w:sz w:val="10"/>
      </w:rPr>
      <w:t xml:space="preserve">N° id. IVA: DE 146281082 • Nº fiscal: 76050/04341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p w:rsidR="006B447A" w:rsidRDefault="006B447A" w:rsidP="003B6A50">
    <w:pPr>
      <w:pStyle w:val="Fuzeile"/>
      <w:spacing w:line="240" w:lineRule="auto"/>
    </w:pPr>
    <w:r>
      <w:rPr>
        <w:lang w:val="pt-BR"/>
        <w:rFonts w:ascii="Arial" w:cs="Times New Roman" w:eastAsia="Times New Roman" w:hAnsi="Arial"/>
        <w:sz w:val="14"/>
      </w:rPr>
      <w:t xml:space="preserve">GEMÜ Gebr. Müller Apparatebau GmbH </w:t>
    </w:r>
    <w:r>
      <w:rPr>
        <w:lang w:val="pt-BR"/>
        <w:rFonts w:ascii="Arial" w:cs="Times New Roman" w:eastAsia="Times New Roman" w:hAnsi="Arial"/>
        <w:sz w:val="14"/>
      </w:rPr>
      <w:t xml:space="preserve">&amp; Co. KG • Fritz-Müller-Str. </w:t>
    </w:r>
    <w:r>
      <w:rPr>
        <w:lang w:val="pt-BR"/>
        <w:rFonts w:ascii="Arial" w:cs="Times New Roman" w:eastAsia="Times New Roman" w:hAnsi="Arial"/>
        <w:sz w:val="14"/>
      </w:rPr>
      <w:t xml:space="preserve">6-8 • D-74653 Ingelfingen</w:t>
    </w:r>
    <w:r>
      <w:rPr>
        <w:lang w:val="pt-BR"/>
        <w:rFonts w:ascii="Arial" w:cs="Times New Roman" w:eastAsia="Times New Roman" w:hAnsi="Arial"/>
        <w:sz w:val="14"/>
      </w:rPr>
      <w:tab/>
    </w:r>
    <w:r>
      <w:rPr>
        <w:lang w:val="pt-BR"/>
        <w:rFonts w:ascii="Arial" w:cs="Times New Roman" w:eastAsia="Times New Roman" w:hAnsi="Arial"/>
        <w:sz w:val="14"/>
      </w:rPr>
      <w:t xml:space="preserve">Página</w:t>
    </w:r>
    <w:r>
      <w:fldChar w:fldCharType="begin"/>
    </w:r>
    <w:r>
      <w:instrText>PAGE  \* Arabic  \* MERGEFORMAT</w:instrText>
    </w:r>
    <w:r>
      <w:fldChar w:fldCharType="separate"/>
    </w:r>
    <w:r w:rsidR="006724CC">
      <w:rPr>
        <w:noProof/>
      </w:rPr>
      <w:t>1</w:t>
    </w:r>
    <w:r>
      <w:fldChar w:fldCharType="end"/>
    </w:r>
    <w:r>
      <w:rPr>
        <w:lang w:val="pt-BR"/>
        <w:rFonts w:ascii="Arial" w:cs="Times New Roman" w:eastAsia="Times New Roman" w:hAnsi="Arial"/>
        <w:sz w:val="14"/>
      </w:rPr>
      <w:t xml:space="preserve"> de </w:t>
    </w:r>
    <w:fldSimple w:instr="NUMPAGES  \* Arabic  \* MERGEFORMAT">
      <w:r w:rsidR="006724CC">
        <w:rPr>
          <w:noProof/>
        </w:rPr>
        <w:t>2</w:t>
      </w:r>
    </w:fldSimple>
  </w:p>
  <w:p w:rsidR="006B447A" w:rsidRPr="00CD215A" w:rsidRDefault="006B447A" w:rsidP="003B6A50">
    <w:pPr>
      <w:pStyle w:val="Webseite"/>
      <w:rPr>
        <w:color w:val="auto"/>
        <w:lang w:val="pt-BR"/>
      </w:rPr>
    </w:pPr>
    <w:r>
      <w:rPr>
        <w:lang w:val="pt-BR"/>
        <w:rFonts w:ascii="Arial" w:cs="Times New Roman" w:eastAsia="Times New Roman" w:hAnsi="Arial"/>
        <w:color w:val="auto"/>
        <w:sz w:val="14"/>
      </w:rPr>
      <w:t xml:space="preserve">Tel.: +49 (0) 7940 123-0 • Fax: +49 (0) 7940 123-192</w:t>
    </w:r>
  </w:p>
  <w:p w:rsidR="006B447A" w:rsidRPr="00CD215A" w:rsidRDefault="006B447A" w:rsidP="003B6A50">
    <w:pPr>
      <w:pStyle w:val="Webseite"/>
      <w:rPr>
        <w:color w:val="FF0000"/>
        <w:lang w:val="pt-BR"/>
      </w:rPr>
    </w:pPr>
    <w:r>
      <w:rPr>
        <w:lang w:val="pt-BR"/>
        <w:rFonts w:ascii="Arial" w:cs="Times New Roman" w:eastAsia="Times New Roman" w:hAnsi="Arial"/>
        <w:color w:val="FF0000"/>
        <w:sz w:val="14"/>
      </w:rPr>
      <w:t xml:space="preserve">www.gemu-group.com</w:t>
    </w:r>
  </w:p>
  <w:p w:rsidR="006B447A" w:rsidRPr="00CD215A" w:rsidRDefault="006B447A" w:rsidP="003B6A50">
    <w:pPr>
      <w:pStyle w:val="Webseite"/>
      <w:rPr>
        <w:color w:val="A6A6A6" w:themeColor="background1" w:themeShade="A6"/>
        <w:sz w:val="12"/>
        <w:szCs w:val="12"/>
        <w:lang w:val="pt-BR"/>
      </w:rPr>
    </w:pPr>
  </w:p>
  <w:p w:rsidR="006B447A" w:rsidRPr="0041214D" w:rsidRDefault="006B447A" w:rsidP="003B6A50">
    <w:pPr>
      <w:pStyle w:val="Webseite"/>
      <w:rPr>
        <w:color w:val="A6A6A6" w:themeColor="background1" w:themeShade="A6"/>
        <w:sz w:val="10"/>
        <w:szCs w:val="10"/>
      </w:rPr>
    </w:pPr>
    <w:r>
      <w:rPr>
        <w:lang w:val="pt-BR"/>
        <w:rFonts w:ascii="Arial" w:cs="Times New Roman" w:eastAsia="Times New Roman" w:hAnsi="Arial"/>
        <w:color w:val="A6A6A6" w:themeColor="background1" w:themeShade="A6"/>
        <w:sz w:val="10"/>
      </w:rPr>
      <w:t xml:space="preserve">Sociedade limitada: Matriz 74653 Ingelfingen, Junta comercial Stuttgart HRA 590394; Sócio geral: Gebr. Müller GmbH, Matriz 74653 Ingelfingen, Junta comercial Stuttgart HRB 590215</w:t>
    </w:r>
  </w:p>
  <w:p w:rsidR="006B447A" w:rsidRPr="0041214D" w:rsidRDefault="006B447A" w:rsidP="003B6A50">
    <w:pPr>
      <w:pStyle w:val="Webseite"/>
      <w:rPr>
        <w:color w:val="A6A6A6" w:themeColor="background1" w:themeShade="A6"/>
        <w:sz w:val="10"/>
        <w:szCs w:val="10"/>
      </w:rPr>
    </w:pPr>
    <w:r>
      <w:rPr>
        <w:lang w:val="pt-BR"/>
        <w:rFonts w:ascii="Arial" w:cs="Times New Roman" w:eastAsia="Times New Roman" w:hAnsi="Arial"/>
        <w:color w:val="A6A6A6" w:themeColor="background1" w:themeShade="A6"/>
        <w:sz w:val="10"/>
      </w:rPr>
      <w:t xml:space="preserve">Gerentes: Fritz Müller, Gert Müller, Stephan Müller</w:t>
    </w:r>
  </w:p>
  <w:p w:rsidR="006B447A" w:rsidRPr="0041214D" w:rsidRDefault="006B447A" w:rsidP="003B6A50">
    <w:pPr>
      <w:pStyle w:val="Webseite"/>
      <w:rPr>
        <w:color w:val="A6A6A6" w:themeColor="background1" w:themeShade="A6"/>
        <w:sz w:val="10"/>
        <w:szCs w:val="10"/>
      </w:rPr>
    </w:pPr>
    <w:proofErr w:type="spellStart"/>
    <w:proofErr w:type="spellEnd"/>
    <w:r>
      <w:rPr>
        <w:lang w:val="pt-BR"/>
        <w:rFonts w:ascii="Arial" w:cs="Times New Roman" w:eastAsia="Times New Roman" w:hAnsi="Arial"/>
        <w:color w:val="A6A6A6" w:themeColor="background1" w:themeShade="A6"/>
        <w:sz w:val="10"/>
      </w:rPr>
      <w:t xml:space="preserve">N° id. IVA: DE 146281082 • Nº fiscal: 76050/04341</w:t>
    </w:r>
  </w:p>
  <w:p w:rsidR="006B447A" w:rsidRDefault="006B44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footnote w:type="separator" w:id="-1">
    <w:p w:rsidR="006B447A" w:rsidRDefault="006B447A">
      <w:r>
        <w:separator/>
      </w:r>
    </w:p>
  </w:footnote>
  <w:footnote w:type="continuationSeparator" w:id="0">
    <w:p w:rsidR="006B447A" w:rsidRDefault="006B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p w:rsidR="006724CC" w:rsidRDefault="006724CC" w:rsidP="008F1259">
    <w:pPr>
      <w:pStyle w:val="Kopfzeile"/>
      <w:tabs>
        <w:tab w:val="clear" w:pos="9072"/>
      </w:tabs>
      <w:ind w:right="-186"/>
      <w:jc w:val="right"/>
    </w:pPr>
    <w:r>
      <w:rPr>
        <w:lang w:val="pt-BR"/>
        <w:rFonts w:ascii="Arial" w:cs="Times New Roman" w:eastAsia="Times New Roman" w:hAnsi="Arial"/>
        <w:sz w:val="18"/>
        <w:noProof w:val="on"/>
      </w:rPr>
      <w:drawing>
        <wp:anchor distT="0" distB="0" distL="114300" distR="114300" simplePos="0" relativeHeight="251664896" behindDoc="0" locked="0" layoutInCell="1" allowOverlap="1" wp14:anchorId="65A9944D" wp14:editId="35AB408A">
          <wp:simplePos x="0" y="0"/>
          <wp:positionH relativeFrom="margin">
            <wp:posOffset>4494530</wp:posOffset>
          </wp:positionH>
          <wp:positionV relativeFrom="margin">
            <wp:posOffset>-622935</wp:posOffset>
          </wp:positionV>
          <wp:extent cx="1583690" cy="247015"/>
          <wp:effectExtent l="0" t="0" r="0" b="63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24CC" w:rsidRDefault="006724CC" w:rsidP="008F1259">
    <w:pPr>
      <w:pStyle w:val="Kopfzeile"/>
      <w:tabs>
        <w:tab w:val="clear" w:pos="9072"/>
      </w:tabs>
      <w:ind w:right="-186"/>
      <w:jc w:val="right"/>
    </w:pPr>
  </w:p>
  <w:p w:rsidR="006724CC" w:rsidRDefault="006724CC" w:rsidP="008F1259">
    <w:pPr>
      <w:pStyle w:val="Kopfzeile"/>
      <w:tabs>
        <w:tab w:val="clear" w:pos="9072"/>
      </w:tabs>
      <w:ind w:right="-186"/>
      <w:jc w:val="right"/>
    </w:pPr>
  </w:p>
  <w:p w:rsidR="006B447A" w:rsidRDefault="006B447A" w:rsidP="008F1259">
    <w:pPr>
      <w:pStyle w:val="Kopfzeile"/>
      <w:tabs>
        <w:tab w:val="clear" w:pos="9072"/>
      </w:tabs>
      <w:ind w:right="-186"/>
      <w:jc w:val="right"/>
    </w:pPr>
  </w:p>
  <w:p w:rsidR="006B447A" w:rsidRPr="00BC617B" w:rsidRDefault="006B447A" w:rsidP="00D251F2">
    <w:pPr>
      <w:pStyle w:val="Kopfzeile"/>
      <w:tabs>
        <w:tab w:val="clear" w:pos="9072"/>
      </w:tabs>
      <w:ind w:right="-3288"/>
      <w:rPr>
        <w:b/>
      </w:rPr>
    </w:pPr>
    <w:r>
      <w:rPr>
        <w:lang w:val="pt-BR"/>
        <w:rFonts w:ascii="Arial" w:cs="Times New Roman" w:eastAsia="Times New Roman" w:hAnsi="Arial"/>
        <w:b w:val="on"/>
        <w:sz w:val="18"/>
      </w:rPr>
      <w:tab/>
    </w:r>
    <w:r>
      <w:rPr>
        <w:lang w:val="pt-BR"/>
        <w:rFonts w:ascii="Arial" w:cs="Times New Roman" w:eastAsia="Times New Roman" w:hAnsi="Arial"/>
        <w:b w:val="on"/>
        <w:sz w:val="18"/>
      </w:rPr>
      <w:tab/>
    </w:r>
    <w:r>
      <w:rPr>
        <w:lang w:val="pt-BR"/>
        <w:rFonts w:ascii="Arial" w:cs="Times New Roman" w:eastAsia="Times New Roman" w:hAnsi="Arial"/>
        <w:b w:val="on"/>
        <w:sz w:val="18"/>
      </w:rP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p w:rsidR="006B447A" w:rsidRDefault="00CD215A" w:rsidP="00BA7E08">
    <w:pPr>
      <w:pStyle w:val="Kopfzeile"/>
      <w:tabs>
        <w:tab w:val="clear" w:pos="9072"/>
        <w:tab w:val="right" w:pos="7088"/>
      </w:tabs>
    </w:pPr>
    <w:r>
      <w:rPr>
        <w:lang w:val="pt-BR"/>
        <w:rFonts w:ascii="Arial" w:cs="Times New Roman" w:eastAsia="Times New Roman" w:hAnsi="Arial"/>
        <w:sz w:val="18"/>
        <w:noProof w:val="on"/>
      </w:rPr>
      <w:drawing>
        <wp:anchor distT="0" distB="0" distL="114300" distR="114300" simplePos="0" relativeHeight="251662848" behindDoc="0" locked="0" layoutInCell="1" allowOverlap="1" wp14:anchorId="0CC7914B">
          <wp:simplePos x="0" y="0"/>
          <wp:positionH relativeFrom="margin">
            <wp:posOffset>4490085</wp:posOffset>
          </wp:positionH>
          <wp:positionV relativeFrom="margin">
            <wp:posOffset>-977014</wp:posOffset>
          </wp:positionV>
          <wp:extent cx="1583690" cy="247015"/>
          <wp:effectExtent l="0" t="0" r="0" b="635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t-BR"/>
        <w:rFonts w:ascii="Arial" w:cs="Times New Roman" w:eastAsia="Times New Roman" w:hAnsi="Arial"/>
        <w:sz w:val="18"/>
        <w:noProof w:val="on"/>
      </w:rPr>
      <w:drawing>
        <wp:anchor distT="0" distB="0" distL="114300" distR="114300" simplePos="0" relativeHeight="251658752" behindDoc="0" locked="0" layoutInCell="1" allowOverlap="1" wp14:anchorId="5F2FEA8B" wp14:editId="4C45B342">
          <wp:simplePos x="0" y="0"/>
          <wp:positionH relativeFrom="column">
            <wp:posOffset>4394835</wp:posOffset>
          </wp:positionH>
          <wp:positionV relativeFrom="paragraph">
            <wp:posOffset>720725</wp:posOffset>
          </wp:positionV>
          <wp:extent cx="2051050" cy="767715"/>
          <wp:effectExtent l="0" t="0" r="6350" b="0"/>
          <wp:wrapNone/>
          <wp:docPr id="5" name="Textfe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 txBox="1">
                  <a:spLocks noChangeArrowheads="1"/>
                </wps:cNvSpPr>
                <wps:spPr bwMode="auto">
                  <a:xfrm>
                    <a:off x="0" y="0"/>
                    <a:ext cx="2051050" cy="767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wps:spPr>
                <wps:txbx>
                  <w:txbxContent>
                    <w:p w:rsidR="006B447A" w:rsidRPr="0023585A" w:rsidRDefault="006B447A" w:rsidP="003B6A50">
                      <w:pPr>
                        <w:pStyle w:val="Kopfzeile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  <w:rFonts w:ascii="Arial" w:cs="Times New Roman" w:eastAsia="Times New Roman" w:hAnsi="Arial"/>
                          <w:sz w:val="18"/>
                        </w:rPr>
                        <w:t xml:space="preserve">Corporate Communication</w:t>
                      </w:r>
                    </w:p>
                    <w:p w:rsidR="006B447A" w:rsidRPr="0023585A" w:rsidRDefault="006B447A" w:rsidP="003B6A50">
                      <w:pPr>
                        <w:pStyle w:val="Kopfzeile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  <w:rFonts w:ascii="Arial" w:cs="Times New Roman" w:eastAsia="Times New Roman" w:hAnsi="Arial"/>
                          <w:sz w:val="18"/>
                        </w:rPr>
                        <w:t xml:space="preserve">Ivona Jovic</w:t>
                      </w:r>
                    </w:p>
                    <w:p w:rsidR="006B447A" w:rsidRPr="004A5F7D" w:rsidRDefault="006B447A" w:rsidP="003B6A50">
                      <w:pPr>
                        <w:pStyle w:val="Kopfzeile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  <w:rFonts w:ascii="Arial" w:cs="Times New Roman" w:eastAsia="Times New Roman" w:hAnsi="Arial"/>
                          <w:sz w:val="18"/>
                        </w:rPr>
                        <w:t xml:space="preserve">Tel.: +49 (0) 7940 123-708</w:t>
                      </w:r>
                    </w:p>
                    <w:p w:rsidR="006B447A" w:rsidRPr="00CB1AF7" w:rsidRDefault="006B447A" w:rsidP="003B6A50">
                      <w:pPr>
                        <w:pStyle w:val="Kopfzeile"/>
                      </w:pPr>
                      <w:r>
                        <w:rPr>
                          <w:lang w:val="pt-BR"/>
                          <w:rFonts w:ascii="Arial" w:cs="Times New Roman" w:eastAsia="Times New Roman" w:hAnsi="Arial"/>
                          <w:sz w:val="18"/>
                        </w:rPr>
                        <w:t xml:space="preserve">Fax: +49 (0) 7940 123-487</w:t>
                      </w:r>
                    </w:p>
                    <w:p w:rsidR="006B447A" w:rsidRPr="00D34C12" w:rsidRDefault="006B447A" w:rsidP="00CD215A">
                      <w:pPr>
                        <w:pStyle w:val="Kopfzeile"/>
                        <w:tabs>
                          <w:tab w:val="left" w:pos="2552"/>
                          <w:tab w:val="left" w:pos="2694"/>
                        </w:tabs>
                      </w:pPr>
                      <w:r>
                        <w:rPr>
                          <w:lang w:val="pt-BR"/>
                          <w:rFonts w:ascii="Arial" w:cs="Times New Roman" w:eastAsia="Times New Roman" w:hAnsi="Arial"/>
                          <w:sz w:val="18"/>
                        </w:rPr>
                        <w:t xml:space="preserve">E-mail: ivona.jovic@gemue.de</w:t>
                      </w:r>
                    </w:p>
                  </w:txbxContent>
                </wps:txbx>
                <wps:bodyPr rot="0" vert="horz" wrap="square" lIns="91440" tIns="45720" rIns="91440" bIns="45720" anchor="t" anchorCtr="0" upright="1">
                  <a:noAutofit/>
                </wps:bodyPr>
              </wps:wsp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t-BR"/>
        <w:rFonts w:ascii="Arial" w:cs="Times New Roman" w:eastAsia="Times New Roman" w:hAnsi="Arial"/>
        <w:sz w:val="18"/>
        <w:noProof w:val="on"/>
      </w:rPr>
      <w:drawing>
        <wp:anchor distT="0" distB="0" distL="114300" distR="114300" simplePos="0" relativeHeight="251660800" behindDoc="0" locked="1" layoutInCell="1" allowOverlap="0" wp14:anchorId="28FABFDF" wp14:editId="369FA022">
          <wp:simplePos x="0" y="0"/>
          <wp:positionH relativeFrom="page">
            <wp:posOffset>894080</wp:posOffset>
          </wp:positionH>
          <wp:positionV relativeFrom="page">
            <wp:posOffset>1993265</wp:posOffset>
          </wp:positionV>
          <wp:extent cx="3060065" cy="292735"/>
          <wp:effectExtent l="0" t="0" r="6985" b="12065"/>
          <wp:wrapNone/>
          <wp:docPr id="1" name="Text Box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 txBox="1">
                  <a:spLocks noChangeArrowheads="1"/>
                </wps:cNvSpPr>
                <wps:spPr bwMode="auto">
                  <a:xfrm>
                    <a:off x="0" y="0"/>
                    <a:ext cx="306006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wps:spPr>
                <wps:txbx>
                  <w:txbxContent>
                    <w:p w:rsidR="006B447A" w:rsidRPr="00027DB4" w:rsidRDefault="006B447A" w:rsidP="00027DB4">
                      <w:pPr>
                        <w:pStyle w:val="Titel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lang w:val="pt-BR"/>
                          <w:rFonts w:ascii="Arial" w:cs="majorBidi" w:eastAsia="majorEastAsia" w:hAnsi="Arial" w:cstheme="majorBidi" w:eastAsiaTheme="majorEastAsia"/>
                          <w:b w:val="off"/>
                          <w:sz w:val="24"/>
                          <w:kern w:val="28"/>
                          <w:spacing w:val="5"/>
                        </w:rPr>
                        <w:t xml:space="preserve">COMUNICADO À IMPRENSA</w:t>
                      </w:r>
                    </w:p>
                  </w:txbxContent>
                </wps:txbx>
                <wps:bodyPr rot="0" vert="horz" wrap="square" lIns="0" tIns="0" rIns="0" bIns="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pt-BR"/>
        <w:rFonts w:ascii="Arial" w:cs="Times New Roman" w:eastAsia="Times New Roman" w:hAnsi="Arial"/>
        <w:sz w:val="18"/>
      </w:rPr>
      <w:tab/>
    </w:r>
    <w:r>
      <w:rPr>
        <w:lang w:val="pt-BR"/>
        <w:rFonts w:ascii="Arial" w:cs="Times New Roman" w:eastAsia="Times New Roman" w:hAnsi="Arial"/>
        <w:sz w:val="18"/>
      </w:rPr>
      <w:tab/>
    </w:r>
    <w:r>
      <w:rPr>
        <w:lang w:val="pt-BR"/>
        <w:rFonts w:ascii="Arial" w:cs="Times New Roman" w:eastAsia="Times New Roman" w:hAnsi="Arial"/>
        <w:sz w:val="18"/>
      </w:rPr>
      <w:tab/>
    </w:r>
    <w:r>
      <w:rPr>
        <w:lang w:val="pt-BR"/>
        <w:rFonts w:ascii="Arial" w:cs="Times New Roman" w:eastAsia="Times New Roman" w:hAnsi="Arial"/>
        <w:sz w:val="18"/>
      </w:rPr>
      <w:tab/>
    </w:r>
    <w:r>
      <w:rPr>
        <w:lang w:val="pt-BR"/>
        <w:rFonts w:ascii="Arial" w:cs="Times New Roman" w:eastAsia="Times New Roman" w:hAnsi="Arial"/>
        <w:sz w:val="18"/>
      </w:rPr>
      <w:tab/>
    </w:r>
    <w:r>
      <w:rPr>
        <w:lang w:val="pt-BR"/>
        <w:rFonts w:ascii="Arial" w:cs="Times New Roman" w:eastAsia="Times New Roman" w:hAnsi="Arial"/>
        <w:sz w:val="18"/>
      </w:rPr>
      <w:tab/>
    </w:r>
    <w:r>
      <w:rPr>
        <w:lang w:val="pt-BR"/>
        <w:rFonts w:ascii="Arial" w:cs="Times New Roman" w:eastAsia="Times New Roman" w:hAnsi="Arial"/>
        <w:sz w:val="18"/>
      </w:rPr>
      <w:tab/>
    </w:r>
    <w:r>
      <w:rPr>
        <w:lang w:val="pt-BR"/>
        <w:rFonts w:ascii="Arial" w:cs="Times New Roman" w:eastAsia="Times New Roman" w:hAnsi="Arial"/>
        <w:sz w:val="18"/>
      </w:rPr>
      <w:tab/>
    </w:r>
    <w:r>
      <w:rPr>
        <w:lang w:val="pt-BR"/>
        <w:rFonts w:ascii="Arial" w:cs="Times New Roman" w:eastAsia="Times New Roman" w:hAnsi="Arial"/>
        <w:sz w:val="18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417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3B1C1A"/>
    <w:multiLevelType w:val="hybridMultilevel"/>
    <w:tmpl w:val="EE9EE1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84B55"/>
    <w:multiLevelType w:val="hybridMultilevel"/>
    <w:tmpl w:val="CC7EA988"/>
    <w:lvl w:ilvl="0" w:tplc="5D4ED11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39F1"/>
    <w:multiLevelType w:val="hybridMultilevel"/>
    <w:tmpl w:val="1C1A99E6"/>
    <w:lvl w:ilvl="0" w:tplc="B0B0BF1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star_td="http://www.star-group.net/schemas/transit/filters/textdata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C0"/>
    <w:rsid w:val="000050CC"/>
    <w:rsid w:val="0000750A"/>
    <w:rsid w:val="00027DB4"/>
    <w:rsid w:val="00043833"/>
    <w:rsid w:val="000460C8"/>
    <w:rsid w:val="00050DB0"/>
    <w:rsid w:val="00054CE7"/>
    <w:rsid w:val="00092213"/>
    <w:rsid w:val="000B788E"/>
    <w:rsid w:val="000D75A4"/>
    <w:rsid w:val="000F0D01"/>
    <w:rsid w:val="0010051D"/>
    <w:rsid w:val="00103DB9"/>
    <w:rsid w:val="00114ECB"/>
    <w:rsid w:val="0012162D"/>
    <w:rsid w:val="00130D38"/>
    <w:rsid w:val="001515AC"/>
    <w:rsid w:val="00154248"/>
    <w:rsid w:val="00164461"/>
    <w:rsid w:val="001652F1"/>
    <w:rsid w:val="00165612"/>
    <w:rsid w:val="00181F6B"/>
    <w:rsid w:val="001854C6"/>
    <w:rsid w:val="001976BD"/>
    <w:rsid w:val="001A02BE"/>
    <w:rsid w:val="001A1E3F"/>
    <w:rsid w:val="001F7B46"/>
    <w:rsid w:val="0021145E"/>
    <w:rsid w:val="00213155"/>
    <w:rsid w:val="00232566"/>
    <w:rsid w:val="0023585A"/>
    <w:rsid w:val="00235AEA"/>
    <w:rsid w:val="002429B4"/>
    <w:rsid w:val="00251978"/>
    <w:rsid w:val="002644DE"/>
    <w:rsid w:val="00275CF6"/>
    <w:rsid w:val="00277815"/>
    <w:rsid w:val="00294B5A"/>
    <w:rsid w:val="002A0855"/>
    <w:rsid w:val="002A204C"/>
    <w:rsid w:val="002E338F"/>
    <w:rsid w:val="00305F51"/>
    <w:rsid w:val="0031460C"/>
    <w:rsid w:val="00316E53"/>
    <w:rsid w:val="00322CB1"/>
    <w:rsid w:val="00333604"/>
    <w:rsid w:val="00351701"/>
    <w:rsid w:val="00353F39"/>
    <w:rsid w:val="00360B23"/>
    <w:rsid w:val="00372B94"/>
    <w:rsid w:val="00375C23"/>
    <w:rsid w:val="00382444"/>
    <w:rsid w:val="00383575"/>
    <w:rsid w:val="00383CC0"/>
    <w:rsid w:val="00385C06"/>
    <w:rsid w:val="00390B46"/>
    <w:rsid w:val="00390F08"/>
    <w:rsid w:val="00394792"/>
    <w:rsid w:val="003A1E1C"/>
    <w:rsid w:val="003B6A50"/>
    <w:rsid w:val="003E0E12"/>
    <w:rsid w:val="003E5D55"/>
    <w:rsid w:val="003F040C"/>
    <w:rsid w:val="003F748A"/>
    <w:rsid w:val="00401E5B"/>
    <w:rsid w:val="0041214D"/>
    <w:rsid w:val="004138C6"/>
    <w:rsid w:val="00414180"/>
    <w:rsid w:val="004150D8"/>
    <w:rsid w:val="00416142"/>
    <w:rsid w:val="004203C7"/>
    <w:rsid w:val="004205AD"/>
    <w:rsid w:val="00430004"/>
    <w:rsid w:val="0045085D"/>
    <w:rsid w:val="004673E1"/>
    <w:rsid w:val="0049316D"/>
    <w:rsid w:val="00495F2F"/>
    <w:rsid w:val="004A01E1"/>
    <w:rsid w:val="004A474D"/>
    <w:rsid w:val="004A5F7D"/>
    <w:rsid w:val="004C52F6"/>
    <w:rsid w:val="004C6A28"/>
    <w:rsid w:val="004E0B29"/>
    <w:rsid w:val="005137A3"/>
    <w:rsid w:val="0051628F"/>
    <w:rsid w:val="00517635"/>
    <w:rsid w:val="00522FC7"/>
    <w:rsid w:val="00523FC0"/>
    <w:rsid w:val="00524529"/>
    <w:rsid w:val="00544B1E"/>
    <w:rsid w:val="00546804"/>
    <w:rsid w:val="00552C4E"/>
    <w:rsid w:val="00571FB7"/>
    <w:rsid w:val="0057388F"/>
    <w:rsid w:val="00574C6D"/>
    <w:rsid w:val="005B5508"/>
    <w:rsid w:val="005B622D"/>
    <w:rsid w:val="005D2037"/>
    <w:rsid w:val="005E571A"/>
    <w:rsid w:val="005E75E6"/>
    <w:rsid w:val="005E7988"/>
    <w:rsid w:val="005F1067"/>
    <w:rsid w:val="00637169"/>
    <w:rsid w:val="00642478"/>
    <w:rsid w:val="00650358"/>
    <w:rsid w:val="00656F6C"/>
    <w:rsid w:val="006724CC"/>
    <w:rsid w:val="00690769"/>
    <w:rsid w:val="0069167D"/>
    <w:rsid w:val="0069406E"/>
    <w:rsid w:val="00697EFD"/>
    <w:rsid w:val="006A393C"/>
    <w:rsid w:val="006B12C6"/>
    <w:rsid w:val="006B447A"/>
    <w:rsid w:val="006B4A94"/>
    <w:rsid w:val="006D4B66"/>
    <w:rsid w:val="00702357"/>
    <w:rsid w:val="0071741A"/>
    <w:rsid w:val="007213F4"/>
    <w:rsid w:val="0072338D"/>
    <w:rsid w:val="00726FEE"/>
    <w:rsid w:val="00731EB5"/>
    <w:rsid w:val="00736752"/>
    <w:rsid w:val="00740880"/>
    <w:rsid w:val="00744D08"/>
    <w:rsid w:val="00747743"/>
    <w:rsid w:val="00753936"/>
    <w:rsid w:val="00766A2D"/>
    <w:rsid w:val="00796C60"/>
    <w:rsid w:val="007A08CC"/>
    <w:rsid w:val="007A2595"/>
    <w:rsid w:val="007B2565"/>
    <w:rsid w:val="007B6EB1"/>
    <w:rsid w:val="007C5A73"/>
    <w:rsid w:val="007E392B"/>
    <w:rsid w:val="007E7946"/>
    <w:rsid w:val="007F2B68"/>
    <w:rsid w:val="007F606E"/>
    <w:rsid w:val="00817547"/>
    <w:rsid w:val="008279E1"/>
    <w:rsid w:val="00831819"/>
    <w:rsid w:val="00874B37"/>
    <w:rsid w:val="008819AD"/>
    <w:rsid w:val="0088749B"/>
    <w:rsid w:val="008A5C29"/>
    <w:rsid w:val="008C5A36"/>
    <w:rsid w:val="008D7016"/>
    <w:rsid w:val="008F1259"/>
    <w:rsid w:val="008F7DBE"/>
    <w:rsid w:val="009021DB"/>
    <w:rsid w:val="009101CE"/>
    <w:rsid w:val="00922EA4"/>
    <w:rsid w:val="009340F8"/>
    <w:rsid w:val="009369BE"/>
    <w:rsid w:val="00936DA0"/>
    <w:rsid w:val="009534F3"/>
    <w:rsid w:val="00961638"/>
    <w:rsid w:val="00963325"/>
    <w:rsid w:val="00963CD3"/>
    <w:rsid w:val="009662C2"/>
    <w:rsid w:val="009707CA"/>
    <w:rsid w:val="009879D4"/>
    <w:rsid w:val="009A501D"/>
    <w:rsid w:val="009A64AE"/>
    <w:rsid w:val="009B6416"/>
    <w:rsid w:val="009C04D6"/>
    <w:rsid w:val="009C4B9E"/>
    <w:rsid w:val="009C725F"/>
    <w:rsid w:val="009D061B"/>
    <w:rsid w:val="009D220E"/>
    <w:rsid w:val="009E13CF"/>
    <w:rsid w:val="00A01290"/>
    <w:rsid w:val="00A039F4"/>
    <w:rsid w:val="00A10CE8"/>
    <w:rsid w:val="00A14AE6"/>
    <w:rsid w:val="00A42B3F"/>
    <w:rsid w:val="00A42C8E"/>
    <w:rsid w:val="00A70AB5"/>
    <w:rsid w:val="00A84F3C"/>
    <w:rsid w:val="00A868DC"/>
    <w:rsid w:val="00A9074D"/>
    <w:rsid w:val="00A91754"/>
    <w:rsid w:val="00A9268D"/>
    <w:rsid w:val="00A94614"/>
    <w:rsid w:val="00AA0D1C"/>
    <w:rsid w:val="00AA3CFB"/>
    <w:rsid w:val="00AB4A32"/>
    <w:rsid w:val="00AC2AB2"/>
    <w:rsid w:val="00AC52E8"/>
    <w:rsid w:val="00AE3BEC"/>
    <w:rsid w:val="00AE3E92"/>
    <w:rsid w:val="00AE4759"/>
    <w:rsid w:val="00AF65F0"/>
    <w:rsid w:val="00B22DB8"/>
    <w:rsid w:val="00B26548"/>
    <w:rsid w:val="00B33CE0"/>
    <w:rsid w:val="00B34C44"/>
    <w:rsid w:val="00B369C0"/>
    <w:rsid w:val="00B46D38"/>
    <w:rsid w:val="00B55B7C"/>
    <w:rsid w:val="00B727BA"/>
    <w:rsid w:val="00B74451"/>
    <w:rsid w:val="00B75138"/>
    <w:rsid w:val="00B76EC4"/>
    <w:rsid w:val="00B8709C"/>
    <w:rsid w:val="00B918B1"/>
    <w:rsid w:val="00B91E47"/>
    <w:rsid w:val="00B9217D"/>
    <w:rsid w:val="00BA09A7"/>
    <w:rsid w:val="00BA7E08"/>
    <w:rsid w:val="00BB1983"/>
    <w:rsid w:val="00BC617B"/>
    <w:rsid w:val="00BE0C8C"/>
    <w:rsid w:val="00BE6478"/>
    <w:rsid w:val="00C1306E"/>
    <w:rsid w:val="00C266DB"/>
    <w:rsid w:val="00C41618"/>
    <w:rsid w:val="00C44B03"/>
    <w:rsid w:val="00C5559A"/>
    <w:rsid w:val="00C6663D"/>
    <w:rsid w:val="00C72D6F"/>
    <w:rsid w:val="00C73743"/>
    <w:rsid w:val="00CA3B5D"/>
    <w:rsid w:val="00CB1AF7"/>
    <w:rsid w:val="00CC1849"/>
    <w:rsid w:val="00CD215A"/>
    <w:rsid w:val="00CE54FD"/>
    <w:rsid w:val="00CF6387"/>
    <w:rsid w:val="00D2045A"/>
    <w:rsid w:val="00D251F2"/>
    <w:rsid w:val="00D34C12"/>
    <w:rsid w:val="00D63A60"/>
    <w:rsid w:val="00D918DA"/>
    <w:rsid w:val="00D92FED"/>
    <w:rsid w:val="00DA05F6"/>
    <w:rsid w:val="00DB2188"/>
    <w:rsid w:val="00DB52D9"/>
    <w:rsid w:val="00DC0DEF"/>
    <w:rsid w:val="00DE3226"/>
    <w:rsid w:val="00DE7E33"/>
    <w:rsid w:val="00E015C1"/>
    <w:rsid w:val="00E17884"/>
    <w:rsid w:val="00E233F6"/>
    <w:rsid w:val="00E508E3"/>
    <w:rsid w:val="00E76A3E"/>
    <w:rsid w:val="00E77CB9"/>
    <w:rsid w:val="00E867C7"/>
    <w:rsid w:val="00EE7089"/>
    <w:rsid w:val="00EF7DC5"/>
    <w:rsid w:val="00F06DD8"/>
    <w:rsid w:val="00F07CFA"/>
    <w:rsid w:val="00F3337C"/>
    <w:rsid w:val="00F36299"/>
    <w:rsid w:val="00F40C82"/>
    <w:rsid w:val="00F43CF3"/>
    <w:rsid w:val="00F45366"/>
    <w:rsid w:val="00F517FE"/>
    <w:rsid w:val="00F6224D"/>
    <w:rsid w:val="00F959FC"/>
    <w:rsid w:val="00FA70D3"/>
    <w:rsid w:val="00FE1086"/>
    <w:rsid w:val="00FE774C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A3C5AC6"/>
  <w15:docId w15:val="{AC254223-EF72-41FC-B588-EE7F18CE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tar_td="http://www.star-group.net/schemas/transit/filters/textdata" mc:Ignorable="w14 w15 w16se w16cid">
  <w:docDefaults>
    <w:rPrDefault>
      <w:rPr>
        <w:rFonts w:ascii="Arial" w:eastAsia="Times New Roman" w:hAnsi="Arial" w:cs="Times New Roman"/>
        <w:lang w:val="pt-BR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qFormat/>
    <w:rsid w:val="00D918DA"/>
    <w:pPr>
      <w:spacing w:line="320" w:lineRule="exact"/>
    </w:pPr>
  </w:style>
  <w:style w:type="paragraph" w:styleId="berschrift1">
    <w:name w:val="heading 1"/>
    <w:basedOn w:val="Standard"/>
    <w:next w:val="Standard"/>
    <w:link w:val="berschrift1Zchn"/>
    <w:uiPriority w:val="9"/>
    <w:rsid w:val="004138C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qFormat/>
    <w:rsid w:val="00E867C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paragraph" w:styleId="Fuzeile">
    <w:name w:val="footer"/>
    <w:basedOn w:val="Standard"/>
    <w:link w:val="FuzeileZchn"/>
    <w:qFormat/>
    <w:rsid w:val="001976BD"/>
    <w:pPr>
      <w:tabs>
        <w:tab w:val="center" w:pos="4536"/>
        <w:tab w:val="right" w:pos="9072"/>
      </w:tabs>
    </w:pPr>
    <w:rPr>
      <w:b/>
      <w:sz w:val="14"/>
    </w:rPr>
  </w:style>
  <w:style w:type="character" w:styleId="Hyperlink">
    <w:name w:val="Hyperlink"/>
    <w:rsid w:val="004138C6"/>
    <w:rPr>
      <w:rFonts w:ascii="Arial" w:hAnsi="Arial"/>
      <w:color w:val="0000FF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D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0DB0"/>
    <w:rPr>
      <w:rFonts w:ascii="Tahoma" w:hAnsi="Tahoma" w:cs="Tahoma"/>
      <w:noProof/>
      <w:sz w:val="16"/>
      <w:szCs w:val="16"/>
      <w:lang w:val="pt-BR"/>
    </w:rPr>
  </w:style>
  <w:style w:type="character" w:customStyle="1" w:styleId="FuzeileZchn">
    <w:name w:val="Fußzeile Zchn"/>
    <w:basedOn w:val="Absatz-Standardschriftart"/>
    <w:link w:val="Fuzeile"/>
    <w:rsid w:val="001976BD"/>
    <w:rPr>
      <w:b/>
      <w:sz w:val="14"/>
    </w:rPr>
  </w:style>
  <w:style w:type="paragraph" w:styleId="KeinLeerraum">
    <w:name w:val="No Spacing"/>
    <w:uiPriority w:val="1"/>
    <w:qFormat/>
    <w:rsid w:val="00E867C7"/>
  </w:style>
  <w:style w:type="character" w:customStyle="1" w:styleId="berschrift1Zchn">
    <w:name w:val="Überschrift 1 Zchn"/>
    <w:basedOn w:val="Absatz-Standardschriftart"/>
    <w:link w:val="berschrift1"/>
    <w:uiPriority w:val="9"/>
    <w:rsid w:val="004138C6"/>
    <w:rPr>
      <w:rFonts w:ascii="Arial" w:eastAsiaTheme="majorEastAsia" w:hAnsi="Arial" w:cstheme="majorBidi"/>
      <w:b/>
      <w:bCs/>
      <w:noProof/>
      <w:sz w:val="28"/>
      <w:szCs w:val="28"/>
      <w:lang w:val="pt-BR"/>
    </w:rPr>
  </w:style>
  <w:style w:type="paragraph" w:styleId="Titel">
    <w:name w:val="Title"/>
    <w:basedOn w:val="Standard"/>
    <w:next w:val="Standard"/>
    <w:link w:val="TitelZchn"/>
    <w:uiPriority w:val="10"/>
    <w:qFormat/>
    <w:rsid w:val="001976BD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6BD"/>
    <w:rPr>
      <w:rFonts w:eastAsiaTheme="majorEastAsia" w:cstheme="majorBidi"/>
      <w:b/>
      <w:spacing w:val="5"/>
      <w:kern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67C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67C7"/>
    <w:rPr>
      <w:rFonts w:eastAsiaTheme="majorEastAsia" w:cstheme="majorBidi"/>
      <w:b/>
      <w:iCs/>
      <w:spacing w:val="15"/>
      <w:szCs w:val="24"/>
    </w:rPr>
  </w:style>
  <w:style w:type="paragraph" w:customStyle="1" w:styleId="Webseite">
    <w:name w:val="Webseite"/>
    <w:basedOn w:val="Kopfzeile"/>
    <w:qFormat/>
    <w:rsid w:val="001976BD"/>
    <w:rPr>
      <w:b/>
      <w:color w:val="D80000"/>
      <w:sz w:val="14"/>
    </w:rPr>
  </w:style>
  <w:style w:type="table" w:styleId="Tabellenraster">
    <w:name w:val="Table Grid"/>
    <w:basedOn w:val="NormaleTabelle"/>
    <w:uiPriority w:val="59"/>
    <w:rsid w:val="008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">
    <w:name w:val="Nummerierung"/>
    <w:basedOn w:val="Standard"/>
    <w:qFormat/>
    <w:rsid w:val="002A204C"/>
    <w:pPr>
      <w:numPr>
        <w:numId w:val="2"/>
      </w:numPr>
    </w:pPr>
  </w:style>
  <w:style w:type="paragraph" w:customStyle="1" w:styleId="Aufzhlung">
    <w:name w:val="Aufzählung"/>
    <w:basedOn w:val="Standard"/>
    <w:qFormat/>
    <w:rsid w:val="002A204C"/>
    <w:pPr>
      <w:numPr>
        <w:numId w:val="3"/>
      </w:numPr>
    </w:pPr>
  </w:style>
  <w:style w:type="paragraph" w:customStyle="1" w:styleId="Hinweis">
    <w:name w:val="Hinweis"/>
    <w:basedOn w:val="Standard"/>
    <w:qFormat/>
    <w:rsid w:val="009A501D"/>
    <w:pPr>
      <w:pBdr>
        <w:top w:val="single" w:sz="18" w:space="1" w:color="C00000"/>
        <w:left w:val="single" w:sz="18" w:space="4" w:color="C00000"/>
        <w:bottom w:val="single" w:sz="18" w:space="1" w:color="C00000"/>
        <w:right w:val="single" w:sz="18" w:space="4" w:color="C00000"/>
      </w:pBdr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BA7E08"/>
    <w:rPr>
      <w:sz w:val="18"/>
    </w:rPr>
  </w:style>
  <w:style w:type="paragraph" w:styleId="Aufzhlungszeichen">
    <w:name w:val="List Bullet"/>
    <w:basedOn w:val="Standard"/>
    <w:uiPriority w:val="99"/>
    <w:unhideWhenUsed/>
    <w:rsid w:val="00740880"/>
    <w:pPr>
      <w:numPr>
        <w:numId w:val="4"/>
      </w:numPr>
      <w:contextualSpacing/>
    </w:pPr>
  </w:style>
  <w:style w:type="character" w:customStyle="1" w:styleId="HeadlineFliesstextZchn">
    <w:name w:val="Headline Fliesstext Zchn"/>
    <w:basedOn w:val="Absatz-Standardschriftart"/>
    <w:link w:val="HeadlineFliesstext"/>
    <w:locked/>
    <w:rsid w:val="00AE3E92"/>
    <w:rPr>
      <w:rFonts w:ascii="Arial Black" w:hAnsi="Arial Black"/>
      <w:color w:val="C00000"/>
    </w:rPr>
  </w:style>
  <w:style w:type="paragraph" w:customStyle="1" w:styleId="HeadlineFliesstext">
    <w:name w:val="Headline Fliesstext"/>
    <w:basedOn w:val="Standard"/>
    <w:link w:val="HeadlineFliesstextZchn"/>
    <w:rsid w:val="00AE3E92"/>
    <w:pPr>
      <w:autoSpaceDE w:val="0"/>
      <w:autoSpaceDN w:val="0"/>
      <w:spacing w:after="300" w:line="360" w:lineRule="auto"/>
    </w:pPr>
    <w:rPr>
      <w:rFonts w:ascii="Arial Black" w:hAnsi="Arial Black"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3E97C93E-CFC8-48C5-9501-90CC2336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star_td="http://www.star-group.net/schemas/transit/filters/textdata">
  <Template>Normal</Template>
  <TotalTime>0</TotalTime>
  <Pages>2</Pages>
  <Words>400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Mueller Apparatebau GmbH &amp; Co.KG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 xmlns:star_td="http://www.star-group.net/schemas/transit/filters/textdata">
  <dc:creator>Jovic, Ivona</dc:creator>
  <cp:lastModifiedBy>Jovic, Ivona</cp:lastModifiedBy>
  <cp:revision>8</cp:revision>
  <cp:lastPrinted>2014-04-15T08:09:00Z</cp:lastPrinted>
  <dcterms:created xsi:type="dcterms:W3CDTF">2018-05-07T11:18:00Z</dcterms:created>
  <dcterms:modified xsi:type="dcterms:W3CDTF">2018-06-07T07:13:00Z</dcterms:modified>
</cp:coreProperties>
</file>