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36A7FB26" w14:textId="77777777" w:rsidR="000B1F31" w:rsidRPr="000B1F31" w:rsidRDefault="000B1F31" w:rsidP="000B1F31">
      <w:pPr>
        <w:spacing w:line="360" w:lineRule="auto"/>
        <w:ind w:right="196"/>
        <w:rPr>
          <w:b/>
          <w:bCs/>
          <w:iCs/>
          <w:sz w:val="28"/>
          <w:szCs w:val="32"/>
          <w:lang w:val="fr-FR"/>
        </w:rPr>
      </w:pPr>
      <w:r>
        <w:rPr>
          <w:b/>
          <w:sz w:val="28"/>
          <w:lang w:val="fr-FR"/>
        </w:rPr>
        <w:t>Nouvelle technologie d'adaptation pour renforcer l'hygiène lors des process de remplissage</w:t>
      </w:r>
    </w:p>
    <w:p w14:paraId="163199E4" w14:textId="77777777" w:rsidR="007630C5" w:rsidRPr="005978B4" w:rsidRDefault="007630C5" w:rsidP="007630C5">
      <w:pPr>
        <w:spacing w:line="360" w:lineRule="auto"/>
        <w:rPr>
          <w:b/>
          <w:sz w:val="32"/>
          <w:szCs w:val="24"/>
          <w:lang w:val="fr-FR"/>
        </w:rPr>
      </w:pPr>
    </w:p>
    <w:p w14:paraId="780DF268" w14:textId="77777777" w:rsidR="000B1F31" w:rsidRPr="000B1F31" w:rsidRDefault="000B1F31" w:rsidP="000B1F31">
      <w:pPr>
        <w:spacing w:line="360" w:lineRule="auto"/>
        <w:rPr>
          <w:b/>
          <w:bCs/>
          <w:sz w:val="22"/>
          <w:szCs w:val="22"/>
          <w:lang w:val="fr-FR"/>
        </w:rPr>
      </w:pPr>
      <w:r>
        <w:rPr>
          <w:b/>
          <w:sz w:val="22"/>
          <w:lang w:val="fr-FR"/>
        </w:rPr>
        <w:t xml:space="preserve">Le nouveau système d'étanchéité breveté pour systèmes de remplissage à aiguille /tube permet au spécialiste des vannes GEMÜ d'offrir sur le marché, pour la première fois, une possibilité d'adaptation pour aiguilles de remplissage garante d'une étanchéité hermétique entre l'actionneur et le fluide. Il est ainsi possible d'exclure tout risque d'effet de remontée, et donc de contamination du fluide. </w:t>
      </w:r>
    </w:p>
    <w:p w14:paraId="26491759" w14:textId="77777777" w:rsidR="007630C5" w:rsidRPr="00C87274" w:rsidRDefault="007630C5" w:rsidP="007630C5">
      <w:pPr>
        <w:spacing w:line="360" w:lineRule="auto"/>
        <w:rPr>
          <w:bCs/>
          <w:i/>
          <w:iCs/>
          <w:sz w:val="22"/>
          <w:szCs w:val="22"/>
          <w:lang w:val="fr-FR"/>
        </w:rPr>
      </w:pPr>
    </w:p>
    <w:p w14:paraId="2B3EF5E4" w14:textId="77777777" w:rsidR="000B1F31" w:rsidRPr="000B1F31" w:rsidRDefault="000B1F31" w:rsidP="000B1F31">
      <w:pPr>
        <w:spacing w:line="360" w:lineRule="auto"/>
        <w:ind w:right="196"/>
        <w:rPr>
          <w:iCs/>
          <w:sz w:val="22"/>
          <w:szCs w:val="22"/>
          <w:lang w:val="fr-FR"/>
        </w:rPr>
      </w:pPr>
      <w:r>
        <w:rPr>
          <w:sz w:val="22"/>
          <w:lang w:val="fr-FR"/>
        </w:rPr>
        <w:t>C'est sur la base des vannes de remplissage et de plate-forme GEMÜ F40 et GEMÜ F60 servoDrive que la technologie à membrane conique PD (Plug Design) éprouvée a été complétée d'un nouveau modèle PD à filetage inox, directement pressé dans le PTFE durant le frittage. Grâce au nouveau système d'étanchéité, un rinçage n'est donc plus nécessaire en aval des joints de presse étoupe. De plus, tout risque de contamination par des lubrifiants provenant de l'actionneur ou résultant de l'effet de remontée est exclu. En combinaison avec les actionneurs haute efficacité GEMÜ F40 et GEMÜ F60, la nouvelle GEMÜ PD renforce l'hygiène et les performances dans toutes les applications de remplissage avec des systèmes à aiguille / tube, quels que soient les fluides et les contenants.</w:t>
      </w:r>
    </w:p>
    <w:p w14:paraId="296BFF86" w14:textId="77777777" w:rsidR="000B1F31" w:rsidRPr="000B1F31" w:rsidRDefault="000B1F31" w:rsidP="000B1F31">
      <w:pPr>
        <w:spacing w:line="360" w:lineRule="auto"/>
        <w:ind w:right="196"/>
        <w:rPr>
          <w:iCs/>
          <w:sz w:val="22"/>
          <w:szCs w:val="22"/>
          <w:lang w:val="fr-FR"/>
        </w:rPr>
      </w:pPr>
      <w:r>
        <w:rPr>
          <w:sz w:val="22"/>
          <w:lang w:val="fr-FR"/>
        </w:rPr>
        <w:t xml:space="preserve">Les process de remplissage avec des fluides liquides et visqueux font souvent appel à des systèmes à aiguille ou à tube. Ce principe est notamment mis en œuvre dans l'industrie cosmétique, pour le remplissage de produits pharmaceutiques ainsi que dans l'industrie agroalimentaire, par exemple pour les produits laitiers, les jus et les sauces. Avec le nouveau système d'étanchéité, GEMÜ offre la possibilité d'amener la sécurité, la précision et la rapidité des process de remplissage à un niveau nettement plus élevé. </w:t>
      </w:r>
    </w:p>
    <w:p w14:paraId="2F368D66" w14:textId="77777777" w:rsidR="000B1F31" w:rsidRPr="000B1F31" w:rsidRDefault="000B1F31" w:rsidP="000B1F31">
      <w:pPr>
        <w:spacing w:line="360" w:lineRule="auto"/>
        <w:ind w:right="196"/>
        <w:rPr>
          <w:iCs/>
          <w:sz w:val="22"/>
          <w:szCs w:val="22"/>
          <w:lang w:val="fr-FR"/>
        </w:rPr>
      </w:pPr>
    </w:p>
    <w:p w14:paraId="5ADB541A" w14:textId="77777777" w:rsidR="000B1F31" w:rsidRPr="000B1F31" w:rsidRDefault="000B1F31" w:rsidP="000B1F31">
      <w:pPr>
        <w:spacing w:line="360" w:lineRule="auto"/>
        <w:ind w:right="196"/>
        <w:rPr>
          <w:iCs/>
          <w:sz w:val="22"/>
          <w:szCs w:val="22"/>
          <w:lang w:val="fr-FR"/>
        </w:rPr>
      </w:pPr>
    </w:p>
    <w:p w14:paraId="2B363F51" w14:textId="7B9BEB12" w:rsidR="000B1F31" w:rsidRPr="000B1F31" w:rsidRDefault="00903548" w:rsidP="000B1F31">
      <w:pPr>
        <w:spacing w:line="360" w:lineRule="auto"/>
        <w:ind w:right="196"/>
        <w:rPr>
          <w:iCs/>
          <w:sz w:val="22"/>
          <w:szCs w:val="22"/>
          <w:lang w:val="fr-FR"/>
        </w:rPr>
      </w:pPr>
      <w:r w:rsidRPr="00FE044B">
        <w:rPr>
          <w:b/>
          <w:bCs/>
          <w:iCs/>
          <w:noProof/>
          <w:sz w:val="22"/>
          <w:szCs w:val="22"/>
        </w:rPr>
        <w:lastRenderedPageBreak/>
        <w:drawing>
          <wp:inline distT="0" distB="0" distL="0" distR="0" wp14:anchorId="2796053B" wp14:editId="41536D4B">
            <wp:extent cx="3899001" cy="1827229"/>
            <wp:effectExtent l="0" t="0" r="6350" b="1905"/>
            <wp:docPr id="2" name="Grafik 2" descr="Ein Bild, das Zylinder enthält.&#10;&#10;Automatisch generierte Beschreibung">
              <a:extLst xmlns:a="http://schemas.openxmlformats.org/drawingml/2006/main">
                <a:ext uri="{FF2B5EF4-FFF2-40B4-BE49-F238E27FC236}">
                  <a16:creationId xmlns:a16="http://schemas.microsoft.com/office/drawing/2014/main" id="{B51B0D03-393E-EA98-1AE6-3FEB677EA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Zylinder enthält.&#10;&#10;Automatisch generierte Beschreibung">
                      <a:extLst>
                        <a:ext uri="{FF2B5EF4-FFF2-40B4-BE49-F238E27FC236}">
                          <a16:creationId xmlns:a16="http://schemas.microsoft.com/office/drawing/2014/main" id="{B51B0D03-393E-EA98-1AE6-3FEB677EAD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0467" cy="1837289"/>
                    </a:xfrm>
                    <a:prstGeom prst="rect">
                      <a:avLst/>
                    </a:prstGeom>
                  </pic:spPr>
                </pic:pic>
              </a:graphicData>
            </a:graphic>
          </wp:inline>
        </w:drawing>
      </w:r>
    </w:p>
    <w:p w14:paraId="5B27C00B" w14:textId="77777777" w:rsidR="000B1F31" w:rsidRPr="000B1F31" w:rsidRDefault="000B1F31" w:rsidP="000B1F31">
      <w:pPr>
        <w:rPr>
          <w:lang w:val="fr-FR"/>
        </w:rPr>
      </w:pPr>
      <w:r>
        <w:rPr>
          <w:lang w:val="fr-FR"/>
        </w:rPr>
        <w:t>PD avec adaptation pour aiguille de remplissage sur l'actionneur GEMÜ AF40</w:t>
      </w:r>
    </w:p>
    <w:p w14:paraId="40CC1BCC" w14:textId="5B0F9663"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2076968D" w14:textId="53F7FD07" w:rsidR="0052138C"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 xml:space="preserve">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w:t>
      </w:r>
      <w:r w:rsidR="00A55A90">
        <w:rPr>
          <w:rFonts w:ascii="Arial" w:hAnsi="Arial" w:cs="Arial"/>
          <w:sz w:val="20"/>
          <w:szCs w:val="20"/>
          <w:lang w:val="fr-FR"/>
        </w:rPr>
        <w:t>202</w:t>
      </w:r>
      <w:r w:rsidR="00930D91">
        <w:rPr>
          <w:rFonts w:ascii="Arial" w:hAnsi="Arial" w:cs="Arial"/>
          <w:sz w:val="20"/>
          <w:szCs w:val="20"/>
          <w:lang w:val="fr-FR"/>
        </w:rPr>
        <w:t>3</w:t>
      </w:r>
      <w:r w:rsidRPr="006D3EC9">
        <w:rPr>
          <w:rFonts w:ascii="Arial" w:hAnsi="Arial" w:cs="Arial"/>
          <w:sz w:val="20"/>
          <w:szCs w:val="20"/>
          <w:lang w:val="fr-FR"/>
        </w:rPr>
        <w:t xml:space="preserve">, le groupe a réalisé un chiffre d'affaires de plus de </w:t>
      </w:r>
      <w:r w:rsidR="00A55A90">
        <w:rPr>
          <w:rFonts w:ascii="Arial" w:hAnsi="Arial" w:cs="Arial"/>
          <w:sz w:val="20"/>
          <w:szCs w:val="20"/>
          <w:lang w:val="fr-FR"/>
        </w:rPr>
        <w:t>5</w:t>
      </w:r>
      <w:r w:rsidR="00930D91">
        <w:rPr>
          <w:rFonts w:ascii="Arial" w:hAnsi="Arial" w:cs="Arial"/>
          <w:sz w:val="20"/>
          <w:szCs w:val="20"/>
          <w:lang w:val="fr-FR"/>
        </w:rPr>
        <w:t>8</w:t>
      </w:r>
      <w:r w:rsidR="00A55A90">
        <w:rPr>
          <w:rFonts w:ascii="Arial" w:hAnsi="Arial" w:cs="Arial"/>
          <w:sz w:val="20"/>
          <w:szCs w:val="20"/>
          <w:lang w:val="fr-FR"/>
        </w:rPr>
        <w:t>0</w:t>
      </w:r>
      <w:r w:rsidRPr="006D3EC9">
        <w:rPr>
          <w:rFonts w:ascii="Arial" w:hAnsi="Arial" w:cs="Arial"/>
          <w:sz w:val="20"/>
          <w:szCs w:val="20"/>
          <w:lang w:val="fr-FR"/>
        </w:rPr>
        <w:t xml:space="preserve">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A41B33">
        <w:rPr>
          <w:rFonts w:ascii="Arial" w:hAnsi="Arial" w:cs="Arial"/>
          <w:sz w:val="20"/>
          <w:szCs w:val="20"/>
          <w:lang w:val="fr-FR"/>
        </w:rPr>
        <w:t>5</w:t>
      </w:r>
      <w:r w:rsidRPr="006D3EC9">
        <w:rPr>
          <w:rFonts w:ascii="Arial" w:hAnsi="Arial" w:cs="Arial"/>
          <w:sz w:val="20"/>
          <w:szCs w:val="20"/>
          <w:lang w:val="fr-FR"/>
        </w:rPr>
        <w:t xml:space="preserve">00 personnes, dont plus de 1 </w:t>
      </w:r>
      <w:r w:rsidR="00A41B33">
        <w:rPr>
          <w:rFonts w:ascii="Arial" w:hAnsi="Arial" w:cs="Arial"/>
          <w:sz w:val="20"/>
          <w:szCs w:val="20"/>
          <w:lang w:val="fr-FR"/>
        </w:rPr>
        <w:t>4</w:t>
      </w:r>
      <w:r w:rsidRPr="006D3EC9">
        <w:rPr>
          <w:rFonts w:ascii="Arial" w:hAnsi="Arial" w:cs="Arial"/>
          <w:sz w:val="20"/>
          <w:szCs w:val="20"/>
          <w:lang w:val="fr-FR"/>
        </w:rPr>
        <w:t>00 en Allemagne. La production a lieu sur six sites : Allemagne, Suisse, France, Chine, Brésil et États-Unis. La distribution mondiale se fait par le biais de 2</w:t>
      </w:r>
      <w:r w:rsidR="00CD44A7">
        <w:rPr>
          <w:rFonts w:ascii="Arial" w:hAnsi="Arial" w:cs="Arial"/>
          <w:sz w:val="20"/>
          <w:szCs w:val="20"/>
          <w:lang w:val="fr-FR"/>
        </w:rPr>
        <w:t>7</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p w14:paraId="2C8588B3" w14:textId="77777777" w:rsidR="00421C9D" w:rsidRPr="006D3EC9" w:rsidRDefault="00421C9D" w:rsidP="006D3EC9">
      <w:pPr>
        <w:pStyle w:val="bodytext"/>
        <w:spacing w:line="360" w:lineRule="auto"/>
        <w:rPr>
          <w:rFonts w:ascii="Arial" w:hAnsi="Arial" w:cs="Arial"/>
          <w:color w:val="666666"/>
          <w:sz w:val="21"/>
          <w:szCs w:val="21"/>
        </w:rPr>
      </w:pPr>
    </w:p>
    <w:sectPr w:rsidR="00421C9D" w:rsidRPr="006D3EC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B05" w14:textId="77777777" w:rsidR="00421C9D" w:rsidRPr="003B2FE3" w:rsidRDefault="00421C9D" w:rsidP="00421C9D">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Pr>
        <w:b w:val="0"/>
        <w:bCs/>
        <w:lang w:val="en-US"/>
      </w:rPr>
      <w:t xml:space="preserve"> – </w:t>
    </w:r>
    <w:r w:rsidRPr="00CB6B5F">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Pr="00AE5CF6">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AE5CF6">
      <w:rPr>
        <w:lang w:val="en-US"/>
      </w:rPr>
      <w:t>2</w:t>
    </w:r>
    <w:r>
      <w:rPr>
        <w:noProof/>
      </w:rPr>
      <w:fldChar w:fldCharType="end"/>
    </w:r>
  </w:p>
  <w:p w14:paraId="5A7FB553" w14:textId="77777777" w:rsidR="00421C9D" w:rsidRDefault="00421C9D" w:rsidP="00421C9D">
    <w:pPr>
      <w:pStyle w:val="Webseite"/>
      <w:rPr>
        <w:b w:val="0"/>
        <w:bCs/>
        <w:color w:val="auto"/>
        <w:lang w:val="en-US"/>
      </w:rPr>
    </w:pPr>
    <w:r w:rsidRPr="00CB6B5F">
      <w:rPr>
        <w:b w:val="0"/>
        <w:bCs/>
        <w:color w:val="auto"/>
        <w:lang w:val="en-US"/>
      </w:rPr>
      <w:t>Phone: +49 7940 123-0 • Fax: +49 7940 123-192</w:t>
    </w:r>
  </w:p>
  <w:p w14:paraId="705C0811" w14:textId="77777777" w:rsidR="00421C9D" w:rsidRPr="00105447" w:rsidRDefault="00421C9D" w:rsidP="00421C9D">
    <w:pPr>
      <w:pStyle w:val="Webseite"/>
      <w:rPr>
        <w:b w:val="0"/>
        <w:bCs/>
        <w:color w:val="auto"/>
        <w:lang w:val="en-US"/>
      </w:rPr>
    </w:pPr>
    <w:r w:rsidRPr="00105447">
      <w:rPr>
        <w:b w:val="0"/>
        <w:bCs/>
        <w:color w:val="auto"/>
        <w:lang w:val="en-US"/>
      </w:rPr>
      <w:t>www.gemu-group.com</w:t>
    </w:r>
  </w:p>
  <w:p w14:paraId="15AE68FE" w14:textId="77777777" w:rsidR="00421C9D" w:rsidRPr="00CB6B5F" w:rsidRDefault="00421C9D" w:rsidP="00421C9D">
    <w:pPr>
      <w:pStyle w:val="Webseite"/>
      <w:rPr>
        <w:color w:val="A6A6A6" w:themeColor="background1" w:themeShade="A6"/>
        <w:sz w:val="12"/>
        <w:szCs w:val="12"/>
        <w:lang w:val="en-US"/>
      </w:rPr>
    </w:pPr>
  </w:p>
  <w:p w14:paraId="5EFE92A4" w14:textId="77777777" w:rsidR="00421C9D" w:rsidRPr="00CB6B5F" w:rsidRDefault="00421C9D" w:rsidP="00421C9D">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674C8A86" w14:textId="77777777" w:rsidR="00421C9D" w:rsidRPr="00CB6B5F" w:rsidRDefault="00421C9D" w:rsidP="00421C9D">
    <w:pPr>
      <w:pStyle w:val="Fuzeile"/>
      <w:spacing w:line="240" w:lineRule="auto"/>
      <w:rPr>
        <w:color w:val="A6A6A6" w:themeColor="background1" w:themeShade="A6"/>
        <w:sz w:val="10"/>
        <w:szCs w:val="10"/>
      </w:rPr>
    </w:pPr>
    <w:r w:rsidRPr="00CB6B5F">
      <w:rPr>
        <w:color w:val="A6A6A6" w:themeColor="background1" w:themeShade="A6"/>
        <w:sz w:val="10"/>
        <w:szCs w:val="10"/>
      </w:rPr>
      <w:t>Managing Directors: Gert Müller, Stephan Müller, Matthias Fick</w:t>
    </w:r>
  </w:p>
  <w:p w14:paraId="7E6B1490" w14:textId="77777777" w:rsidR="00421C9D" w:rsidRPr="00CB6B5F" w:rsidRDefault="00421C9D" w:rsidP="00421C9D">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0574B174" w:rsidR="00DF0B01" w:rsidRPr="003B2FE3" w:rsidRDefault="00DF0B01" w:rsidP="00BC51EA">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sidR="00CB6B5F">
      <w:rPr>
        <w:b w:val="0"/>
        <w:bCs/>
        <w:lang w:val="en-US"/>
      </w:rPr>
      <w:t xml:space="preserve"> </w:t>
    </w:r>
    <w:r w:rsidR="00105447">
      <w:rPr>
        <w:b w:val="0"/>
        <w:bCs/>
        <w:lang w:val="en-US"/>
      </w:rPr>
      <w:t>–</w:t>
    </w:r>
    <w:r w:rsidR="00CB6B5F">
      <w:rPr>
        <w:b w:val="0"/>
        <w:bCs/>
        <w:lang w:val="en-US"/>
      </w:rPr>
      <w:t xml:space="preserve"> </w:t>
    </w:r>
    <w:r w:rsidRPr="00CB6B5F">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6878C19D" w:rsidR="00DF0B01" w:rsidRDefault="00DF0B01" w:rsidP="00BC51EA">
    <w:pPr>
      <w:pStyle w:val="Webseite"/>
      <w:rPr>
        <w:b w:val="0"/>
        <w:bCs/>
        <w:color w:val="auto"/>
        <w:lang w:val="en-US"/>
      </w:rPr>
    </w:pPr>
    <w:r w:rsidRPr="00CB6B5F">
      <w:rPr>
        <w:b w:val="0"/>
        <w:bCs/>
        <w:color w:val="auto"/>
        <w:lang w:val="en-US"/>
      </w:rPr>
      <w:t>Phone: +49 7940 123-0 • Fax: +49 7940 123-192</w:t>
    </w:r>
  </w:p>
  <w:p w14:paraId="7BA89FBD" w14:textId="1C114925" w:rsidR="00CB6B5F" w:rsidRPr="00105447" w:rsidRDefault="00CB6B5F" w:rsidP="00BC51EA">
    <w:pPr>
      <w:pStyle w:val="Webseite"/>
      <w:rPr>
        <w:b w:val="0"/>
        <w:bCs/>
        <w:color w:val="auto"/>
        <w:lang w:val="en-US"/>
      </w:rPr>
    </w:pPr>
    <w:r w:rsidRPr="00105447">
      <w:rPr>
        <w:b w:val="0"/>
        <w:bCs/>
        <w:color w:val="auto"/>
        <w:lang w:val="en-US"/>
      </w:rPr>
      <w:t>www.gemu-group.com</w:t>
    </w:r>
  </w:p>
  <w:p w14:paraId="16D61240" w14:textId="77777777" w:rsidR="00DF0B01" w:rsidRPr="00CB6B5F" w:rsidRDefault="00DF0B01" w:rsidP="00BC51EA">
    <w:pPr>
      <w:pStyle w:val="Webseite"/>
      <w:rPr>
        <w:color w:val="A6A6A6" w:themeColor="background1" w:themeShade="A6"/>
        <w:sz w:val="12"/>
        <w:szCs w:val="12"/>
        <w:lang w:val="en-US"/>
      </w:rPr>
    </w:pPr>
  </w:p>
  <w:p w14:paraId="2D86D16E"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281D3AEF" w14:textId="3C419C1D" w:rsidR="00DF0B01" w:rsidRPr="00CB6B5F" w:rsidRDefault="00DF0B01" w:rsidP="00BC51EA">
    <w:pPr>
      <w:pStyle w:val="Fuzeile"/>
      <w:spacing w:line="240" w:lineRule="auto"/>
      <w:rPr>
        <w:color w:val="A6A6A6" w:themeColor="background1" w:themeShade="A6"/>
        <w:sz w:val="10"/>
        <w:szCs w:val="10"/>
      </w:rPr>
    </w:pPr>
    <w:r w:rsidRPr="00CB6B5F">
      <w:rPr>
        <w:color w:val="A6A6A6" w:themeColor="background1" w:themeShade="A6"/>
        <w:sz w:val="10"/>
        <w:szCs w:val="10"/>
      </w:rPr>
      <w:t>Managing Directors: Gert Müller, Stephan Müller</w:t>
    </w:r>
    <w:r w:rsidR="005136FA" w:rsidRPr="00CB6B5F">
      <w:rPr>
        <w:color w:val="A6A6A6" w:themeColor="background1" w:themeShade="A6"/>
        <w:sz w:val="10"/>
        <w:szCs w:val="10"/>
      </w:rPr>
      <w:t>, Matthias Fick</w:t>
    </w:r>
  </w:p>
  <w:p w14:paraId="046AB1BA"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0C30EA51" w14:textId="77777777" w:rsidR="00DF0B01" w:rsidRPr="00BE348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1446709B" w:rsidR="00DF0B01" w:rsidRDefault="00F41572" w:rsidP="008F1259">
    <w:pPr>
      <w:pStyle w:val="Kopfzeile"/>
      <w:tabs>
        <w:tab w:val="clear" w:pos="9072"/>
      </w:tabs>
      <w:ind w:right="-186"/>
      <w:jc w:val="right"/>
    </w:pPr>
    <w:r>
      <w:rPr>
        <w:noProof/>
      </w:rPr>
      <w:drawing>
        <wp:anchor distT="0" distB="0" distL="114300" distR="114300" simplePos="0" relativeHeight="251667968" behindDoc="0" locked="0" layoutInCell="1" allowOverlap="1" wp14:anchorId="6D5AB5D5" wp14:editId="4BFEB02D">
          <wp:simplePos x="0" y="0"/>
          <wp:positionH relativeFrom="margin">
            <wp:posOffset>0</wp:posOffset>
          </wp:positionH>
          <wp:positionV relativeFrom="margin">
            <wp:posOffset>-1133475</wp:posOffset>
          </wp:positionV>
          <wp:extent cx="1673860" cy="232410"/>
          <wp:effectExtent l="0" t="0" r="2540" b="0"/>
          <wp:wrapSquare wrapText="bothSides"/>
          <wp:docPr id="3" name="Grafik 3"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p>
  <w:p w14:paraId="3BEC6AC4" w14:textId="655863FE"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40D8DA65" w:rsidR="00DF0B01" w:rsidRDefault="00A41B33" w:rsidP="00BA7E08">
    <w:pPr>
      <w:pStyle w:val="Kopfzeile"/>
      <w:tabs>
        <w:tab w:val="clear" w:pos="9072"/>
        <w:tab w:val="right" w:pos="7088"/>
      </w:tabs>
    </w:pPr>
    <w:r>
      <w:rPr>
        <w:noProof/>
      </w:rPr>
      <w:drawing>
        <wp:anchor distT="0" distB="0" distL="114300" distR="114300" simplePos="0" relativeHeight="251665920" behindDoc="0" locked="0" layoutInCell="1" allowOverlap="1" wp14:anchorId="49FB79D3" wp14:editId="4F7D6BB1">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Pr>
        <w:noProof/>
      </w:rPr>
      <mc:AlternateContent>
        <mc:Choice Requires="wps">
          <w:drawing>
            <wp:anchor distT="0" distB="0" distL="114300" distR="114300" simplePos="0" relativeHeight="251661824" behindDoc="0" locked="1" layoutInCell="1" allowOverlap="0" wp14:anchorId="307397DF" wp14:editId="36B3E65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0122909">
    <w:abstractNumId w:val="0"/>
  </w:num>
  <w:num w:numId="2" w16cid:durableId="2050372969">
    <w:abstractNumId w:val="2"/>
  </w:num>
  <w:num w:numId="3" w16cid:durableId="166828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1F31"/>
    <w:rsid w:val="000B788E"/>
    <w:rsid w:val="000B7CB3"/>
    <w:rsid w:val="000E12DC"/>
    <w:rsid w:val="000F0D01"/>
    <w:rsid w:val="0010051D"/>
    <w:rsid w:val="00101789"/>
    <w:rsid w:val="00105447"/>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975A4"/>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1C9D"/>
    <w:rsid w:val="00427A8D"/>
    <w:rsid w:val="004673E1"/>
    <w:rsid w:val="0049316D"/>
    <w:rsid w:val="00495A0D"/>
    <w:rsid w:val="004A01E1"/>
    <w:rsid w:val="004A5F7D"/>
    <w:rsid w:val="004C0DE7"/>
    <w:rsid w:val="004C52F6"/>
    <w:rsid w:val="004C6A28"/>
    <w:rsid w:val="0050531F"/>
    <w:rsid w:val="005136F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07541"/>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3548"/>
    <w:rsid w:val="00930D91"/>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1B33"/>
    <w:rsid w:val="00A42804"/>
    <w:rsid w:val="00A42B3F"/>
    <w:rsid w:val="00A50799"/>
    <w:rsid w:val="00A509BE"/>
    <w:rsid w:val="00A55A90"/>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E5CF6"/>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E3482"/>
    <w:rsid w:val="00C1306E"/>
    <w:rsid w:val="00C41618"/>
    <w:rsid w:val="00C4188C"/>
    <w:rsid w:val="00C44B03"/>
    <w:rsid w:val="00C5559A"/>
    <w:rsid w:val="00C6663D"/>
    <w:rsid w:val="00C72D6F"/>
    <w:rsid w:val="00C777A1"/>
    <w:rsid w:val="00C84658"/>
    <w:rsid w:val="00C87274"/>
    <w:rsid w:val="00CA1E52"/>
    <w:rsid w:val="00CA3B5D"/>
    <w:rsid w:val="00CB2266"/>
    <w:rsid w:val="00CB6B5F"/>
    <w:rsid w:val="00CC0271"/>
    <w:rsid w:val="00CC0E0C"/>
    <w:rsid w:val="00CC1849"/>
    <w:rsid w:val="00CD44A7"/>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E2F87"/>
    <w:rsid w:val="00EF5A6D"/>
    <w:rsid w:val="00EF626D"/>
    <w:rsid w:val="00EF7DC5"/>
    <w:rsid w:val="00F01865"/>
    <w:rsid w:val="00F3788D"/>
    <w:rsid w:val="00F40475"/>
    <w:rsid w:val="00F40C82"/>
    <w:rsid w:val="00F4157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2024-04-16T06:51:00Z</dcterms:created>
  <dcterms:modified xsi:type="dcterms:W3CDTF">2024-04-24T09:08:00Z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